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024C4" w14:textId="3C549E93" w:rsidR="001F301D" w:rsidRPr="001F301D" w:rsidRDefault="001F301D" w:rsidP="00D22E42">
      <w:pPr>
        <w:pStyle w:val="Body1P"/>
        <w:rPr>
          <w:rFonts w:ascii="Times New Roman" w:eastAsia="Times New Roman" w:hAnsi="Times New Roman"/>
          <w:sz w:val="24"/>
          <w:szCs w:val="24"/>
        </w:rPr>
      </w:pPr>
      <w:r>
        <w:rPr>
          <w:rFonts w:eastAsia="Times New Roman"/>
        </w:rPr>
        <w:t xml:space="preserve">March </w:t>
      </w:r>
      <w:r w:rsidR="00D76007">
        <w:rPr>
          <w:rFonts w:eastAsia="Times New Roman"/>
        </w:rPr>
        <w:t>31</w:t>
      </w:r>
      <w:r>
        <w:rPr>
          <w:rFonts w:eastAsia="Times New Roman"/>
        </w:rPr>
        <w:t>, 2023</w:t>
      </w:r>
      <w:r w:rsidRPr="001F301D">
        <w:rPr>
          <w:rFonts w:eastAsia="Times New Roman"/>
        </w:rPr>
        <w:br/>
        <w:t xml:space="preserve">Public Utility Commission of Texas </w:t>
      </w:r>
    </w:p>
    <w:p w14:paraId="3725BB54" w14:textId="2B6571B6" w:rsidR="001F301D" w:rsidRPr="001F301D" w:rsidRDefault="001F301D" w:rsidP="00D22E42">
      <w:pPr>
        <w:pStyle w:val="Body1P"/>
        <w:rPr>
          <w:rFonts w:ascii="Times New Roman" w:eastAsia="Times New Roman" w:hAnsi="Times New Roman"/>
          <w:sz w:val="24"/>
          <w:szCs w:val="24"/>
        </w:rPr>
      </w:pPr>
      <w:r w:rsidRPr="001F301D">
        <w:rPr>
          <w:rFonts w:eastAsia="Times New Roman"/>
        </w:rPr>
        <w:t>Re: Docket/Control #</w:t>
      </w:r>
      <w:r w:rsidR="008E723A" w:rsidRPr="008E723A">
        <w:rPr>
          <w:rFonts w:ascii="Calibri" w:hAnsi="Calibri" w:cs="Calibri"/>
          <w:color w:val="1D1D1D"/>
          <w:shd w:val="clear" w:color="auto" w:fill="FFFFFF"/>
        </w:rPr>
        <w:t xml:space="preserve"> </w:t>
      </w:r>
      <w:r w:rsidR="008E723A" w:rsidRPr="008E723A">
        <w:rPr>
          <w:rFonts w:eastAsia="Times New Roman"/>
        </w:rPr>
        <w:t>53719</w:t>
      </w:r>
      <w:r w:rsidRPr="001F301D">
        <w:rPr>
          <w:rFonts w:eastAsia="Times New Roman"/>
        </w:rPr>
        <w:t xml:space="preserve"> –</w:t>
      </w:r>
      <w:r w:rsidR="009A5F44">
        <w:rPr>
          <w:rFonts w:eastAsia="Times New Roman"/>
        </w:rPr>
        <w:t xml:space="preserve"> PROPOSAL BY ENTERGY TEXAS</w:t>
      </w:r>
      <w:r w:rsidR="001E74B6">
        <w:rPr>
          <w:rFonts w:eastAsia="Times New Roman"/>
        </w:rPr>
        <w:t xml:space="preserve"> FOR TRANSPORTATION ELECTRIFICATION AND CHARGING INFRASTRUCTURE </w:t>
      </w:r>
      <w:r w:rsidR="00D71999">
        <w:rPr>
          <w:rFonts w:eastAsia="Times New Roman"/>
        </w:rPr>
        <w:t xml:space="preserve">(TECI) </w:t>
      </w:r>
      <w:r w:rsidR="001E74B6">
        <w:rPr>
          <w:rFonts w:eastAsia="Times New Roman"/>
        </w:rPr>
        <w:t xml:space="preserve">AND TRANSPORTATION ELECTRIFICATION AND CHARGING DEMAND ADJUSTMENT </w:t>
      </w:r>
      <w:r w:rsidR="00D71999">
        <w:rPr>
          <w:rFonts w:eastAsia="Times New Roman"/>
        </w:rPr>
        <w:t xml:space="preserve">(TECDA) </w:t>
      </w:r>
      <w:r w:rsidR="001E74B6">
        <w:rPr>
          <w:rFonts w:eastAsia="Times New Roman"/>
        </w:rPr>
        <w:t>RIDERS</w:t>
      </w:r>
      <w:r w:rsidRPr="001F301D">
        <w:rPr>
          <w:rFonts w:eastAsia="Times New Roman"/>
        </w:rPr>
        <w:t xml:space="preserve"> </w:t>
      </w:r>
    </w:p>
    <w:p w14:paraId="3D906978" w14:textId="77777777" w:rsidR="001F301D" w:rsidRPr="001F301D" w:rsidRDefault="001F301D" w:rsidP="00D22E42">
      <w:pPr>
        <w:pStyle w:val="Body1P"/>
        <w:rPr>
          <w:rFonts w:ascii="Times New Roman" w:eastAsia="Times New Roman" w:hAnsi="Times New Roman"/>
          <w:sz w:val="24"/>
          <w:szCs w:val="24"/>
        </w:rPr>
      </w:pPr>
      <w:r w:rsidRPr="001F301D">
        <w:rPr>
          <w:rFonts w:eastAsia="Times New Roman"/>
        </w:rPr>
        <w:t xml:space="preserve">Dear Commissioners, </w:t>
      </w:r>
    </w:p>
    <w:p w14:paraId="682B0645" w14:textId="598EE087" w:rsidR="001F301D" w:rsidRPr="001F301D" w:rsidRDefault="001F301D" w:rsidP="00D22E42">
      <w:pPr>
        <w:pStyle w:val="Body1P"/>
        <w:rPr>
          <w:rFonts w:ascii="Times New Roman" w:eastAsia="Times New Roman" w:hAnsi="Times New Roman"/>
          <w:sz w:val="24"/>
          <w:szCs w:val="24"/>
        </w:rPr>
      </w:pPr>
      <w:r w:rsidRPr="001F301D">
        <w:rPr>
          <w:rFonts w:eastAsia="Times New Roman"/>
        </w:rPr>
        <w:t>Thank you for the opportunity to provide input for the record on</w:t>
      </w:r>
      <w:r w:rsidR="0070222D">
        <w:rPr>
          <w:rFonts w:eastAsia="Times New Roman"/>
        </w:rPr>
        <w:t xml:space="preserve"> the two proposals for voluntary rate riders relating to transportation electrification put forward by Entergy Texas</w:t>
      </w:r>
      <w:r w:rsidRPr="001F301D">
        <w:rPr>
          <w:rFonts w:eastAsia="Times New Roman"/>
        </w:rPr>
        <w:t xml:space="preserve">. The Center for Climate and Energy Solutions (C2ES) is writing in support of </w:t>
      </w:r>
      <w:r w:rsidR="00301DB0">
        <w:rPr>
          <w:rFonts w:eastAsia="Times New Roman"/>
        </w:rPr>
        <w:t>both</w:t>
      </w:r>
      <w:r w:rsidRPr="001F301D">
        <w:rPr>
          <w:rFonts w:eastAsia="Times New Roman"/>
        </w:rPr>
        <w:t xml:space="preserve"> </w:t>
      </w:r>
      <w:r w:rsidR="0070222D">
        <w:rPr>
          <w:rFonts w:eastAsia="Times New Roman"/>
        </w:rPr>
        <w:t>proposals</w:t>
      </w:r>
      <w:r w:rsidRPr="001F301D">
        <w:rPr>
          <w:rFonts w:eastAsia="Times New Roman"/>
        </w:rPr>
        <w:t>.</w:t>
      </w:r>
    </w:p>
    <w:p w14:paraId="559C7190" w14:textId="77777777" w:rsidR="001F301D" w:rsidRDefault="001F301D" w:rsidP="00D22E42">
      <w:pPr>
        <w:pStyle w:val="Body1P"/>
        <w:rPr>
          <w:rFonts w:eastAsia="Times New Roman"/>
        </w:rPr>
      </w:pPr>
      <w:r w:rsidRPr="001F301D">
        <w:rPr>
          <w:rFonts w:eastAsia="Times New Roman"/>
        </w:rPr>
        <w:t xml:space="preserve">To avoid the worst impacts of climate change, we must rapidly decarbonize economywide. Texas and the Gulf Coast region are no strangers to increasingly expensive, damaging, and devastating events, like Winter Storm Uri and Hurricane Harvey, which have become even more frequent and likely due to increasing concentrations of greenhouse gases in our atmosphere. </w:t>
      </w:r>
    </w:p>
    <w:p w14:paraId="4264407D" w14:textId="09727B54" w:rsidR="001E74B6" w:rsidRDefault="00782F83" w:rsidP="00D22E42">
      <w:pPr>
        <w:pStyle w:val="Body1P"/>
      </w:pPr>
      <w:r>
        <w:t xml:space="preserve">The </w:t>
      </w:r>
      <w:r w:rsidR="00FA794A">
        <w:t>transportation</w:t>
      </w:r>
      <w:r>
        <w:t xml:space="preserve"> sector</w:t>
      </w:r>
      <w:r w:rsidR="00FA794A">
        <w:t xml:space="preserve"> is</w:t>
      </w:r>
      <w:r>
        <w:t xml:space="preserve"> currently the highest emitting sector of the U.S. economy, and a key strategy for decarbonizing this sector is</w:t>
      </w:r>
      <w:r w:rsidR="00FA794A">
        <w:t xml:space="preserve"> </w:t>
      </w:r>
      <w:r w:rsidR="00942BFD">
        <w:t>electrification</w:t>
      </w:r>
      <w:r>
        <w:t>. T</w:t>
      </w:r>
      <w:r w:rsidR="001E74B6">
        <w:t>h</w:t>
      </w:r>
      <w:r w:rsidR="00D30CE8">
        <w:t>ankfully,</w:t>
      </w:r>
      <w:r w:rsidR="001E74B6" w:rsidDel="00782F83">
        <w:t xml:space="preserve"> t</w:t>
      </w:r>
      <w:r w:rsidR="001E74B6">
        <w:t>he shift to electric vehicles</w:t>
      </w:r>
      <w:r w:rsidR="00922C8C">
        <w:t xml:space="preserve"> (EVs)</w:t>
      </w:r>
      <w:r w:rsidR="001E74B6">
        <w:t xml:space="preserve"> is already </w:t>
      </w:r>
      <w:r w:rsidR="00CF658F">
        <w:t>happening</w:t>
      </w:r>
      <w:r w:rsidR="001E74B6">
        <w:t xml:space="preserve"> at a</w:t>
      </w:r>
      <w:r w:rsidR="00CF658F">
        <w:t xml:space="preserve">n accelerating pace </w:t>
      </w:r>
      <w:r w:rsidR="001E74B6">
        <w:t>across the state</w:t>
      </w:r>
      <w:r w:rsidR="00CF658F">
        <w:t>. I</w:t>
      </w:r>
      <w:r w:rsidR="00832A4A">
        <w:t xml:space="preserve">n 2021, </w:t>
      </w:r>
      <w:r w:rsidR="00B9443C">
        <w:t xml:space="preserve">nearly </w:t>
      </w:r>
      <w:r w:rsidR="00CF658F">
        <w:t xml:space="preserve">81,000 </w:t>
      </w:r>
      <w:r w:rsidR="008D77F5">
        <w:t xml:space="preserve">new </w:t>
      </w:r>
      <w:r w:rsidR="00CF658F">
        <w:t xml:space="preserve">battery electric vehicles were registered in Texas, an increase of </w:t>
      </w:r>
      <w:r w:rsidR="00E563BB">
        <w:t>54 percent from the previous year.</w:t>
      </w:r>
      <w:r w:rsidR="00E26FAE">
        <w:rPr>
          <w:rStyle w:val="FootnoteReference"/>
        </w:rPr>
        <w:footnoteReference w:id="2"/>
      </w:r>
      <w:r w:rsidR="00E26FAE">
        <w:t xml:space="preserve"> </w:t>
      </w:r>
      <w:r w:rsidR="003706A9">
        <w:t>To</w:t>
      </w:r>
      <w:r w:rsidR="00E563BB">
        <w:t xml:space="preserve"> accommodate existing vehicles and accelerate future adoption, charging infrastructure must be </w:t>
      </w:r>
      <w:r w:rsidR="00DA2009">
        <w:t>greatly expanded</w:t>
      </w:r>
      <w:r w:rsidR="00B508EA">
        <w:t>, i.e.,</w:t>
      </w:r>
      <w:r w:rsidR="00642349">
        <w:t xml:space="preserve"> </w:t>
      </w:r>
      <w:r w:rsidR="00E563BB">
        <w:t>widely accessible, reliable, and affordable.</w:t>
      </w:r>
      <w:r w:rsidR="00BE1513">
        <w:t xml:space="preserve"> </w:t>
      </w:r>
    </w:p>
    <w:p w14:paraId="38F836A9" w14:textId="03776DCA" w:rsidR="0013129B" w:rsidRDefault="00922C8C" w:rsidP="00D22E42">
      <w:pPr>
        <w:pStyle w:val="Body1P"/>
      </w:pPr>
      <w:r>
        <w:t xml:space="preserve">Many EV drivers </w:t>
      </w:r>
      <w:r w:rsidR="00157DC8">
        <w:t>can</w:t>
      </w:r>
      <w:r>
        <w:t xml:space="preserve"> install charging at home, integrating their additional electricity demand into their existing residential bill. </w:t>
      </w:r>
      <w:r w:rsidR="00DB1C08">
        <w:t>Drivers with home charging access perform around</w:t>
      </w:r>
      <w:r w:rsidR="007C0E25">
        <w:t xml:space="preserve"> </w:t>
      </w:r>
      <w:r w:rsidR="00DB1C08">
        <w:t>75</w:t>
      </w:r>
      <w:r w:rsidR="007C0E25">
        <w:t xml:space="preserve"> percent of all charging </w:t>
      </w:r>
      <w:r w:rsidR="00DB1C08">
        <w:t>at home</w:t>
      </w:r>
      <w:r w:rsidR="007C0E25">
        <w:t>.</w:t>
      </w:r>
      <w:r w:rsidR="00E26FAE">
        <w:rPr>
          <w:rStyle w:val="FootnoteReference"/>
        </w:rPr>
        <w:footnoteReference w:id="3"/>
      </w:r>
      <w:r w:rsidR="00E26FAE">
        <w:t xml:space="preserve"> </w:t>
      </w:r>
      <w:r>
        <w:t>However</w:t>
      </w:r>
      <w:r w:rsidR="0078017B">
        <w:t>, many drivers</w:t>
      </w:r>
      <w:r w:rsidR="00D0272C">
        <w:t xml:space="preserve"> — </w:t>
      </w:r>
      <w:r w:rsidR="0078017B">
        <w:t xml:space="preserve">especially </w:t>
      </w:r>
      <w:r w:rsidR="00D0272C">
        <w:t xml:space="preserve">renters and residents of </w:t>
      </w:r>
      <w:r w:rsidR="0078017B">
        <w:t xml:space="preserve">multifamily </w:t>
      </w:r>
      <w:r w:rsidR="00D0272C">
        <w:t xml:space="preserve">dwellings — are unable to install home charging and must rely on publicly accessible or shared charging infrastructure. </w:t>
      </w:r>
      <w:r w:rsidR="00BA0844">
        <w:t>Property o</w:t>
      </w:r>
      <w:r w:rsidR="00761216">
        <w:t xml:space="preserve">wners of multifamily residences, businesses with accessible parking, and </w:t>
      </w:r>
      <w:r w:rsidR="00BA0844">
        <w:t>municipal buildings</w:t>
      </w:r>
      <w:r w:rsidR="004D2A39">
        <w:t xml:space="preserve"> can install publicly or privately accessible charging infrastructure to serve these drivers and enable electrification in their communities</w:t>
      </w:r>
      <w:r w:rsidR="006B7E89">
        <w:t xml:space="preserve"> or among their own vehicle fleets.</w:t>
      </w:r>
    </w:p>
    <w:p w14:paraId="3AD074A7" w14:textId="170D539C" w:rsidR="00E26FAE" w:rsidRDefault="003F6337" w:rsidP="00D22E42">
      <w:pPr>
        <w:pStyle w:val="Body1P"/>
      </w:pPr>
      <w:r>
        <w:lastRenderedPageBreak/>
        <w:t xml:space="preserve">Particularly because EVs are a relatively new technology, many </w:t>
      </w:r>
      <w:r w:rsidR="006B7E89">
        <w:t>drivers or fleet operators</w:t>
      </w:r>
      <w:r>
        <w:t xml:space="preserve"> report that insufficient access to charging prevents them from switching to an EV.</w:t>
      </w:r>
      <w:r w:rsidR="00E26FAE">
        <w:rPr>
          <w:rStyle w:val="FootnoteReference"/>
        </w:rPr>
        <w:footnoteReference w:id="4"/>
      </w:r>
      <w:r w:rsidR="00E26FAE">
        <w:t xml:space="preserve"> Charging infrastructure build-out must therefore occur at a rapid pace and scale</w:t>
      </w:r>
      <w:r w:rsidR="001D2082">
        <w:t>,</w:t>
      </w:r>
      <w:r w:rsidR="00E26FAE">
        <w:t xml:space="preserve"> even before EVs are widely adopted. This creates an extra up-front cost burden for the owner of the charging infrastructure</w:t>
      </w:r>
      <w:r w:rsidR="00666BF3">
        <w:t>. This is</w:t>
      </w:r>
      <w:r w:rsidR="00E26FAE">
        <w:t xml:space="preserve"> particularly </w:t>
      </w:r>
      <w:r w:rsidR="00666BF3">
        <w:t>true for</w:t>
      </w:r>
      <w:r w:rsidR="00E26FAE">
        <w:t xml:space="preserve"> </w:t>
      </w:r>
      <w:r w:rsidR="00A2598B">
        <w:t xml:space="preserve">owners of </w:t>
      </w:r>
      <w:r w:rsidR="00E26FAE">
        <w:t>public charging infrastructure</w:t>
      </w:r>
      <w:r w:rsidR="00A2598B">
        <w:t>. W</w:t>
      </w:r>
      <w:r w:rsidR="00E26FAE">
        <w:t xml:space="preserve">hile providing a necessary service, </w:t>
      </w:r>
      <w:r w:rsidR="00A2598B">
        <w:t xml:space="preserve">they </w:t>
      </w:r>
      <w:r w:rsidR="00E26FAE">
        <w:t xml:space="preserve">may </w:t>
      </w:r>
      <w:r w:rsidR="00A2598B">
        <w:t>still</w:t>
      </w:r>
      <w:r w:rsidR="00E26FAE">
        <w:t xml:space="preserve"> see very low rates of utilization of their equipment in the early years of its operation as the surrounding community grows its share of EVs.</w:t>
      </w:r>
    </w:p>
    <w:p w14:paraId="6AC690FC" w14:textId="77777777" w:rsidR="00E26FAE" w:rsidRDefault="00E26FAE" w:rsidP="00D22E42">
      <w:pPr>
        <w:pStyle w:val="Body1P"/>
      </w:pPr>
      <w:r>
        <w:t xml:space="preserve">Non-residential utility customers have several options for installing charging, with different degrees of ownership over the parts of the charger in relation to the utility. Most commonly, the customer can install third-party charging infrastructure and take on ownership of operations and maintenance for everything after the meter. In this scenario, the utility only maintains the distribution service up to the meter. The alternative Entergy Texas proposes in its Transportation Electrification and Charging Infrastructure (TECI) rider is a more integrated approach on the side of the utility — it would allow the utility to own and operate the infrastructure after the meter either up to or including the EV charger. </w:t>
      </w:r>
    </w:p>
    <w:p w14:paraId="7AE6EB69" w14:textId="1E62AD3F" w:rsidR="00AD353E" w:rsidRDefault="00E26FAE" w:rsidP="00D22E42">
      <w:pPr>
        <w:pStyle w:val="Body1P"/>
      </w:pPr>
      <w:r>
        <w:t xml:space="preserve">Setting up the system this way would shift the costs of operation from the utility customer to the utility, </w:t>
      </w:r>
      <w:r w:rsidR="00064539">
        <w:t>which</w:t>
      </w:r>
      <w:r>
        <w:t xml:space="preserve"> would recoup them through a fixed monthly fee over the course of up to ten years. For an individual utility customer wishing to host charging infrastructure, this program would lower the up-front cost barriers to entry and support longer-term operation at a fixed price. Additionally, it would benefit all drivers by ensuring longevity of operations and maintenance through the utility over the course of the program; a major challenge currently for some </w:t>
      </w:r>
      <w:proofErr w:type="gramStart"/>
      <w:r>
        <w:t>early-generation</w:t>
      </w:r>
      <w:proofErr w:type="gramEnd"/>
      <w:r>
        <w:t xml:space="preserve"> charging stations is lack of continuity among operators or loss of support when the original operator goes out of business and ceases to maintain the infrastructure.</w:t>
      </w:r>
      <w:r>
        <w:rPr>
          <w:rStyle w:val="FootnoteReference"/>
        </w:rPr>
        <w:footnoteReference w:id="5"/>
      </w:r>
      <w:r>
        <w:t xml:space="preserve"> </w:t>
      </w:r>
      <w:r w:rsidR="00AE7381">
        <w:t xml:space="preserve"> </w:t>
      </w:r>
    </w:p>
    <w:p w14:paraId="37476D1C" w14:textId="7A2CDBE8" w:rsidR="00CF52F9" w:rsidRDefault="00CF52F9" w:rsidP="00D22E42">
      <w:pPr>
        <w:pStyle w:val="Body1P"/>
      </w:pPr>
      <w:r>
        <w:t xml:space="preserve">While building out publicly accessible charging infrastructure benefits all prospective EV drivers, shifting costs to customers not directly involved in charging station decision-making may pose an undue cost burden on these customers. </w:t>
      </w:r>
      <w:r w:rsidR="00FA6270" w:rsidRPr="00FA6270">
        <w:t xml:space="preserve">Entergy Texas electricity customers that wish to utilize the public charging infrastructure can opt </w:t>
      </w:r>
      <w:proofErr w:type="gramStart"/>
      <w:r w:rsidR="00FA6270" w:rsidRPr="00FA6270">
        <w:t>in to</w:t>
      </w:r>
      <w:proofErr w:type="gramEnd"/>
      <w:r w:rsidR="00FA6270" w:rsidRPr="00FA6270">
        <w:t xml:space="preserve"> the program and will see charges clearly reflected on their regular electricity bill.</w:t>
      </w:r>
      <w:r w:rsidR="00FA6270">
        <w:t xml:space="preserve"> </w:t>
      </w:r>
      <w:r>
        <w:t xml:space="preserve">C2ES supports Entergy Texas’s </w:t>
      </w:r>
      <w:r w:rsidR="00425165">
        <w:t xml:space="preserve">proposal to limit the rider to customers who choose to participate in the program rather than imposing costs across </w:t>
      </w:r>
      <w:proofErr w:type="gramStart"/>
      <w:r w:rsidR="00425165">
        <w:t>all of</w:t>
      </w:r>
      <w:proofErr w:type="gramEnd"/>
      <w:r w:rsidR="00425165">
        <w:t xml:space="preserve"> its other customers.</w:t>
      </w:r>
    </w:p>
    <w:p w14:paraId="4DC10B0F" w14:textId="72097EDF" w:rsidR="00425165" w:rsidRDefault="0014323F" w:rsidP="00D22E42">
      <w:pPr>
        <w:pStyle w:val="Body1P"/>
      </w:pPr>
      <w:r>
        <w:t xml:space="preserve">C2ES also supports </w:t>
      </w:r>
      <w:r w:rsidR="00667E20">
        <w:t>Entergy Te</w:t>
      </w:r>
      <w:r w:rsidR="00081A38">
        <w:t>xas’</w:t>
      </w:r>
      <w:r w:rsidR="00EB45B0">
        <w:t>s</w:t>
      </w:r>
      <w:r w:rsidR="00425165">
        <w:t xml:space="preserve"> second rider, the Transportation Electrification and Charging Demand Adjustment (TECDA) Rider</w:t>
      </w:r>
      <w:r>
        <w:t xml:space="preserve">, which will </w:t>
      </w:r>
      <w:r w:rsidR="003B4DEB">
        <w:t xml:space="preserve">temporarily </w:t>
      </w:r>
      <w:r w:rsidR="006D5751">
        <w:t>reduce electric bill uncertainty caused by low adoption rates and utility demand charges for separately metered charging equipment.</w:t>
      </w:r>
      <w:r w:rsidR="00FE6CC3">
        <w:t xml:space="preserve"> T</w:t>
      </w:r>
      <w:r w:rsidR="00C031BB">
        <w:t>his rider would help to minimize the up-front cost burden on charging infrastructure operators in the earlier stages of adoption when utilization is low</w:t>
      </w:r>
      <w:r w:rsidR="00FE6CC3">
        <w:t>, mentioned above</w:t>
      </w:r>
      <w:r w:rsidR="00C031BB">
        <w:t xml:space="preserve">. </w:t>
      </w:r>
      <w:r w:rsidR="00E87AFF">
        <w:t>T</w:t>
      </w:r>
      <w:r w:rsidR="00EC641D">
        <w:t>he most critical time for investment in building out charging infrastructure is now, in anticipation of future acceleration of EV adoption</w:t>
      </w:r>
      <w:r w:rsidR="00E87AFF">
        <w:t>. This rider will help to support earlier build-out of this necessary charging infrastructure.</w:t>
      </w:r>
    </w:p>
    <w:p w14:paraId="291E22AE" w14:textId="1DB7C143" w:rsidR="001F301D" w:rsidRPr="001F301D" w:rsidRDefault="001F301D" w:rsidP="00D22E42">
      <w:pPr>
        <w:pStyle w:val="Body1P"/>
        <w:rPr>
          <w:rFonts w:ascii="Times New Roman" w:eastAsia="Times New Roman" w:hAnsi="Times New Roman"/>
          <w:sz w:val="24"/>
          <w:szCs w:val="24"/>
        </w:rPr>
      </w:pPr>
      <w:r w:rsidRPr="001F301D">
        <w:rPr>
          <w:rFonts w:eastAsia="Times New Roman"/>
        </w:rPr>
        <w:lastRenderedPageBreak/>
        <w:t>Entergy</w:t>
      </w:r>
      <w:r w:rsidR="00867F1D">
        <w:rPr>
          <w:rFonts w:eastAsia="Times New Roman"/>
        </w:rPr>
        <w:t xml:space="preserve"> </w:t>
      </w:r>
      <w:r w:rsidRPr="001F301D">
        <w:rPr>
          <w:rFonts w:eastAsia="Times New Roman"/>
        </w:rPr>
        <w:t>has made a significant commitment to clean electricity generation, including achieving net-zero carbon emissions by 2050. As a long-serving member of our Business Environmental Leadership Council, Entergy has made consistent progress in its efforts to significantly reduce carbon pollution and prioritize climate resilience measures.</w:t>
      </w:r>
      <w:r w:rsidR="00867F1D">
        <w:rPr>
          <w:rFonts w:eastAsia="Times New Roman"/>
        </w:rPr>
        <w:t xml:space="preserve"> C2ES supports Entergy’s propos</w:t>
      </w:r>
      <w:r w:rsidR="00E07E89">
        <w:rPr>
          <w:rFonts w:eastAsia="Times New Roman"/>
        </w:rPr>
        <w:t>ed riders in service of these goals.</w:t>
      </w:r>
    </w:p>
    <w:p w14:paraId="3582E975" w14:textId="77777777" w:rsidR="001F301D" w:rsidRDefault="001F301D" w:rsidP="00D22E42">
      <w:pPr>
        <w:pStyle w:val="Body1P"/>
        <w:rPr>
          <w:rFonts w:eastAsia="Times New Roman"/>
        </w:rPr>
      </w:pPr>
      <w:r w:rsidRPr="001F301D">
        <w:rPr>
          <w:rFonts w:eastAsia="Times New Roman"/>
        </w:rPr>
        <w:t xml:space="preserve">Thank you for your consideration of C2ES’s comments on this matter. </w:t>
      </w:r>
    </w:p>
    <w:p w14:paraId="45BAA980" w14:textId="23D25DD5" w:rsidR="001F301D" w:rsidRPr="00D87F97" w:rsidRDefault="001F301D" w:rsidP="00D22E42">
      <w:pPr>
        <w:pStyle w:val="Body1P"/>
        <w:rPr>
          <w:rFonts w:ascii="Times New Roman" w:eastAsia="Times New Roman" w:hAnsi="Times New Roman"/>
          <w:sz w:val="24"/>
          <w:szCs w:val="24"/>
        </w:rPr>
      </w:pPr>
      <w:r w:rsidRPr="001F301D">
        <w:rPr>
          <w:rFonts w:eastAsia="Times New Roman"/>
        </w:rPr>
        <w:t xml:space="preserve">Sincerely, </w:t>
      </w:r>
    </w:p>
    <w:p w14:paraId="3E5830FD" w14:textId="1CEC4DC2" w:rsidR="0058121E" w:rsidRPr="00D87F97" w:rsidRDefault="00FA6270" w:rsidP="00D22E42">
      <w:pPr>
        <w:pStyle w:val="Body1P"/>
        <w:rPr>
          <w:rFonts w:eastAsia="Times New Roman"/>
        </w:rPr>
      </w:pPr>
      <w:r w:rsidRPr="00C41B36">
        <w:rPr>
          <w:rFonts w:eastAsia="Times New Roman"/>
          <w:b/>
          <w:bCs/>
        </w:rPr>
        <w:t>Brad Townsend</w:t>
      </w:r>
      <w:r>
        <w:rPr>
          <w:rFonts w:eastAsia="Times New Roman"/>
        </w:rPr>
        <w:br/>
        <w:t>Vice President for Policy and Outreach</w:t>
      </w:r>
      <w:r>
        <w:rPr>
          <w:rFonts w:eastAsia="Times New Roman"/>
        </w:rPr>
        <w:br/>
      </w:r>
      <w:r w:rsidR="001F301D" w:rsidRPr="001F301D">
        <w:rPr>
          <w:rFonts w:eastAsia="Times New Roman"/>
        </w:rPr>
        <w:t xml:space="preserve">Center for Climate and Energy Solutions </w:t>
      </w:r>
      <w:r w:rsidR="00C41B36">
        <w:rPr>
          <w:rFonts w:eastAsia="Times New Roman"/>
        </w:rPr>
        <w:br/>
      </w:r>
      <w:r w:rsidR="001F301D" w:rsidRPr="001F301D">
        <w:rPr>
          <w:rFonts w:eastAsia="Times New Roman"/>
        </w:rPr>
        <w:t>3100 Clarendon Blvd #800</w:t>
      </w:r>
      <w:r w:rsidR="001F301D" w:rsidRPr="001F301D">
        <w:rPr>
          <w:rFonts w:eastAsia="Times New Roman"/>
        </w:rPr>
        <w:br/>
        <w:t xml:space="preserve">Arlington, VA 22201 </w:t>
      </w:r>
    </w:p>
    <w:sectPr w:rsidR="0058121E" w:rsidRPr="00D87F97" w:rsidSect="007329A1">
      <w:footerReference w:type="even" r:id="rId11"/>
      <w:footerReference w:type="default" r:id="rId12"/>
      <w:headerReference w:type="first" r:id="rId13"/>
      <w:endnotePr>
        <w:numFmt w:val="decimal"/>
      </w:endnotePr>
      <w:pgSz w:w="12240" w:h="15840"/>
      <w:pgMar w:top="1440" w:right="1440" w:bottom="1440" w:left="1440" w:header="100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1AFD5" w14:textId="77777777" w:rsidR="00F925C3" w:rsidRDefault="00F925C3" w:rsidP="00F04237">
      <w:r>
        <w:separator/>
      </w:r>
    </w:p>
  </w:endnote>
  <w:endnote w:type="continuationSeparator" w:id="0">
    <w:p w14:paraId="4A7F0DE3" w14:textId="77777777" w:rsidR="00F925C3" w:rsidRDefault="00F925C3" w:rsidP="00F04237">
      <w:r>
        <w:continuationSeparator/>
      </w:r>
    </w:p>
  </w:endnote>
  <w:endnote w:type="continuationNotice" w:id="1">
    <w:p w14:paraId="6CBE04E5" w14:textId="77777777" w:rsidR="00F925C3" w:rsidRDefault="00F92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20B0604020202020204"/>
    <w:charset w:val="4D"/>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Optima-Bold">
    <w:panose1 w:val="02000803080000020004"/>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Regular">
    <w:panose1 w:val="02000503060000020004"/>
    <w:charset w:val="00"/>
    <w:family w:val="auto"/>
    <w:pitch w:val="variable"/>
    <w:sig w:usb0="80000067" w:usb1="00000000" w:usb2="00000000" w:usb3="00000000" w:csb0="00000001" w:csb1="00000000"/>
  </w:font>
  <w:font w:name="Optima-Italic">
    <w:panose1 w:val="02000503000000090003"/>
    <w:charset w:val="00"/>
    <w:family w:val="auto"/>
    <w:pitch w:val="variable"/>
    <w:sig w:usb0="80000067" w:usb1="00000000" w:usb2="00000000" w:usb3="00000000" w:csb0="00000001" w:csb1="00000000"/>
  </w:font>
  <w:font w:name="Optima LT Std">
    <w:panose1 w:val="02000503060000020004"/>
    <w:charset w:val="00"/>
    <w:family w:val="auto"/>
    <w:pitch w:val="variable"/>
    <w:sig w:usb0="8000006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054211"/>
      <w:docPartObj>
        <w:docPartGallery w:val="Page Numbers (Bottom of Page)"/>
        <w:docPartUnique/>
      </w:docPartObj>
    </w:sdtPr>
    <w:sdtEndPr/>
    <w:sdtContent>
      <w:p w14:paraId="43C5C24A" w14:textId="77777777" w:rsidR="003D2D1B" w:rsidRPr="00B83801" w:rsidRDefault="003D2D1B" w:rsidP="00F04237">
        <w:pPr>
          <w:pStyle w:val="Footer"/>
        </w:pPr>
        <w:r w:rsidRPr="00B83801">
          <w:t>Center for Climate and Energy Solutions</w:t>
        </w:r>
        <w:r w:rsidRPr="00B83801">
          <w:tab/>
        </w:r>
        <w:r w:rsidRPr="00B83801">
          <w:tab/>
        </w:r>
        <w:r w:rsidR="00541840" w:rsidRPr="00541840">
          <w:fldChar w:fldCharType="begin"/>
        </w:r>
        <w:r w:rsidR="00541840" w:rsidRPr="00541840">
          <w:instrText xml:space="preserve"> PAGE   \* MERGEFORMAT </w:instrText>
        </w:r>
        <w:r w:rsidR="00541840" w:rsidRPr="00541840">
          <w:fldChar w:fldCharType="separate"/>
        </w:r>
        <w:r w:rsidR="009D633B">
          <w:rPr>
            <w:noProof/>
          </w:rPr>
          <w:t>4</w:t>
        </w:r>
        <w:r w:rsidR="00541840" w:rsidRPr="00541840">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0349970"/>
      <w:docPartObj>
        <w:docPartGallery w:val="Page Numbers (Bottom of Page)"/>
        <w:docPartUnique/>
      </w:docPartObj>
    </w:sdtPr>
    <w:sdtEndPr/>
    <w:sdtContent>
      <w:p w14:paraId="76363EA6" w14:textId="77777777" w:rsidR="003D2D1B" w:rsidRPr="00294798" w:rsidRDefault="003D2D1B" w:rsidP="00F04237">
        <w:pPr>
          <w:pStyle w:val="Footer"/>
        </w:pPr>
        <w:r w:rsidRPr="00294798">
          <w:t>Center for Climate and Energy Solutions</w:t>
        </w:r>
        <w:r w:rsidRPr="00294798">
          <w:tab/>
        </w:r>
        <w:r w:rsidRPr="00294798">
          <w:tab/>
        </w:r>
        <w:r w:rsidR="00FD52C3" w:rsidRPr="004646ED">
          <w:fldChar w:fldCharType="begin"/>
        </w:r>
        <w:r w:rsidRPr="004646ED">
          <w:instrText xml:space="preserve"> PAGE   \* MERGEFORMAT </w:instrText>
        </w:r>
        <w:r w:rsidR="00FD52C3" w:rsidRPr="004646ED">
          <w:fldChar w:fldCharType="separate"/>
        </w:r>
        <w:r w:rsidR="009D633B">
          <w:rPr>
            <w:noProof/>
          </w:rPr>
          <w:t>3</w:t>
        </w:r>
        <w:r w:rsidR="00FD52C3" w:rsidRPr="004646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02BC" w14:textId="77777777" w:rsidR="00F925C3" w:rsidRDefault="00F925C3" w:rsidP="00F04237">
      <w:r>
        <w:separator/>
      </w:r>
    </w:p>
  </w:footnote>
  <w:footnote w:type="continuationSeparator" w:id="0">
    <w:p w14:paraId="400F8E01" w14:textId="77777777" w:rsidR="00F925C3" w:rsidRDefault="00F925C3" w:rsidP="00F04237">
      <w:r>
        <w:continuationSeparator/>
      </w:r>
    </w:p>
  </w:footnote>
  <w:footnote w:type="continuationNotice" w:id="1">
    <w:p w14:paraId="147B95DA" w14:textId="77777777" w:rsidR="00F925C3" w:rsidRDefault="00F925C3">
      <w:pPr>
        <w:spacing w:after="0" w:line="240" w:lineRule="auto"/>
      </w:pPr>
    </w:p>
  </w:footnote>
  <w:footnote w:id="2">
    <w:p w14:paraId="7F628654" w14:textId="1911A7DE" w:rsidR="00E26FAE" w:rsidRDefault="00E26FAE">
      <w:pPr>
        <w:pStyle w:val="FootnoteText"/>
      </w:pPr>
      <w:r>
        <w:rPr>
          <w:rStyle w:val="FootnoteReference"/>
        </w:rPr>
        <w:footnoteRef/>
      </w:r>
      <w:r>
        <w:t xml:space="preserve"> Alternative Fuels Data Center, “Vehicle Registration Counts by State,” Accessed March 29, 2023, </w:t>
      </w:r>
      <w:hyperlink r:id="rId1" w:history="1">
        <w:r w:rsidRPr="00E606B3">
          <w:rPr>
            <w:rStyle w:val="Hyperlink"/>
          </w:rPr>
          <w:t>https://afdc.energy.gov/vehicle-registration</w:t>
        </w:r>
      </w:hyperlink>
      <w:r>
        <w:t xml:space="preserve">.  </w:t>
      </w:r>
    </w:p>
  </w:footnote>
  <w:footnote w:id="3">
    <w:p w14:paraId="3072D91C" w14:textId="5B37910F" w:rsidR="00E26FAE" w:rsidRDefault="00E26FAE">
      <w:pPr>
        <w:pStyle w:val="FootnoteText"/>
      </w:pPr>
      <w:r>
        <w:rPr>
          <w:rStyle w:val="FootnoteReference"/>
        </w:rPr>
        <w:footnoteRef/>
      </w:r>
      <w:r>
        <w:t xml:space="preserve"> Hauke Engel et al., “Charging ahead: Electric-vehicle infrastructure demand,” </w:t>
      </w:r>
      <w:r w:rsidRPr="00C41B36">
        <w:rPr>
          <w:i/>
          <w:iCs/>
        </w:rPr>
        <w:t>McKinsey &amp; Company</w:t>
      </w:r>
      <w:r>
        <w:t xml:space="preserve">, Article, August 8, 2018, </w:t>
      </w:r>
      <w:hyperlink r:id="rId2" w:history="1">
        <w:r w:rsidRPr="00E606B3">
          <w:rPr>
            <w:rStyle w:val="Hyperlink"/>
          </w:rPr>
          <w:t>https://www.mckinsey.com/industries/automotive-and-assembly/our-insights/charging-ahead-electric-vehicleinfrastructure-demand</w:t>
        </w:r>
      </w:hyperlink>
      <w:r>
        <w:t>.</w:t>
      </w:r>
    </w:p>
  </w:footnote>
  <w:footnote w:id="4">
    <w:p w14:paraId="76FF53CB" w14:textId="734A0125" w:rsidR="00E26FAE" w:rsidRPr="00B75E1E" w:rsidRDefault="00E26FAE">
      <w:pPr>
        <w:pStyle w:val="FootnoteText"/>
      </w:pPr>
      <w:r>
        <w:rPr>
          <w:rStyle w:val="FootnoteReference"/>
        </w:rPr>
        <w:footnoteRef/>
      </w:r>
      <w:r>
        <w:t xml:space="preserve"> Jeff S. Bartlett, </w:t>
      </w:r>
      <w:r>
        <w:rPr>
          <w:i/>
          <w:iCs/>
        </w:rPr>
        <w:t>Battery Electric Vehicles &amp; Low Carbon Fuel Survey</w:t>
      </w:r>
      <w:r>
        <w:t xml:space="preserve"> (New York: Consumer Reports, 2022), </w:t>
      </w:r>
      <w:hyperlink r:id="rId3" w:history="1">
        <w:r w:rsidRPr="00E606B3">
          <w:rPr>
            <w:rStyle w:val="Hyperlink"/>
          </w:rPr>
          <w:t>https://article.images.consumerreports.org/image/upload/v1657127210/prod/content/dam/CRO-Images-2022/Cars/07July/2022_Consumer_Reports_BEV_and_LCF_Survey_Report.pdf</w:t>
        </w:r>
      </w:hyperlink>
      <w:r>
        <w:t xml:space="preserve">. </w:t>
      </w:r>
    </w:p>
  </w:footnote>
  <w:footnote w:id="5">
    <w:p w14:paraId="4F7CA900" w14:textId="77777777" w:rsidR="00E26FAE" w:rsidRDefault="00E26FAE" w:rsidP="007827CF">
      <w:pPr>
        <w:pStyle w:val="FootnoteText"/>
      </w:pPr>
      <w:r>
        <w:rPr>
          <w:rStyle w:val="FootnoteReference"/>
        </w:rPr>
        <w:footnoteRef/>
      </w:r>
      <w:r>
        <w:t xml:space="preserve"> David Rempel et al., </w:t>
      </w:r>
      <w:r w:rsidRPr="00C41B36">
        <w:rPr>
          <w:i/>
          <w:iCs/>
        </w:rPr>
        <w:t>Reliability of Open Public Electric Vehicle Direct Current Fast Chargers</w:t>
      </w:r>
      <w:r>
        <w:t xml:space="preserve"> (Berkeley, CA: University of California, Berkeley, Cool the Earth, and SLAC National Accelerator Laboratory, 2022), </w:t>
      </w:r>
      <w:hyperlink r:id="rId4" w:history="1">
        <w:r w:rsidRPr="00E606B3">
          <w:rPr>
            <w:rStyle w:val="Hyperlink"/>
          </w:rPr>
          <w:t>https://arxiv.org/pdf/2203.16372.pdf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4F98" w14:textId="77777777" w:rsidR="003D2D1B" w:rsidRDefault="003D2D1B" w:rsidP="00815492">
    <w:pPr>
      <w:pStyle w:val="Header"/>
      <w:tabs>
        <w:tab w:val="left" w:pos="3762"/>
      </w:tabs>
    </w:pPr>
    <w:r>
      <w:rPr>
        <w:noProof/>
      </w:rPr>
      <w:drawing>
        <wp:inline distT="0" distB="0" distL="0" distR="0" wp14:anchorId="281C2A7E" wp14:editId="5B96FB70">
          <wp:extent cx="1778343" cy="50748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
                  <a:stretch>
                    <a:fillRect/>
                  </a:stretch>
                </pic:blipFill>
                <pic:spPr>
                  <a:xfrm>
                    <a:off x="0" y="0"/>
                    <a:ext cx="1778343" cy="507489"/>
                  </a:xfrm>
                  <a:prstGeom prst="rect">
                    <a:avLst/>
                  </a:prstGeom>
                </pic:spPr>
              </pic:pic>
            </a:graphicData>
          </a:graphic>
        </wp:inline>
      </w:drawing>
    </w:r>
    <w:r>
      <w:tab/>
    </w:r>
    <w:r w:rsidR="00815492">
      <w:tab/>
    </w:r>
    <w:r>
      <w:tab/>
    </w:r>
    <w:r>
      <w:br/>
    </w:r>
  </w:p>
  <w:p w14:paraId="5A064931" w14:textId="77777777" w:rsidR="003D2D1B" w:rsidRDefault="003D2D1B" w:rsidP="00F04237">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4806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81008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F41E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4416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93037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E67D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FE4E5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DC0F0D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A0E65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CB61BE2"/>
    <w:lvl w:ilvl="0">
      <w:start w:val="1"/>
      <w:numFmt w:val="bullet"/>
      <w:pStyle w:val="ListBullet"/>
      <w:lvlText w:val=""/>
      <w:lvlJc w:val="left"/>
      <w:pPr>
        <w:tabs>
          <w:tab w:val="num" w:pos="720"/>
        </w:tabs>
        <w:ind w:left="720" w:hanging="360"/>
      </w:pPr>
      <w:rPr>
        <w:rFonts w:ascii="Symbol" w:hAnsi="Symbol" w:hint="default"/>
      </w:rPr>
    </w:lvl>
  </w:abstractNum>
  <w:abstractNum w:abstractNumId="10" w15:restartNumberingAfterBreak="0">
    <w:nsid w:val="3D233178"/>
    <w:multiLevelType w:val="hybridMultilevel"/>
    <w:tmpl w:val="761A2EA6"/>
    <w:lvl w:ilvl="0" w:tplc="F6805840">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2374F4"/>
    <w:multiLevelType w:val="hybridMultilevel"/>
    <w:tmpl w:val="054A6AF0"/>
    <w:lvl w:ilvl="0" w:tplc="06CE7038">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2829280">
    <w:abstractNumId w:val="11"/>
  </w:num>
  <w:num w:numId="2" w16cid:durableId="1109011608">
    <w:abstractNumId w:val="9"/>
  </w:num>
  <w:num w:numId="3" w16cid:durableId="8409421">
    <w:abstractNumId w:val="8"/>
  </w:num>
  <w:num w:numId="4" w16cid:durableId="1581988840">
    <w:abstractNumId w:val="10"/>
  </w:num>
  <w:num w:numId="5" w16cid:durableId="759912595">
    <w:abstractNumId w:val="0"/>
  </w:num>
  <w:num w:numId="6" w16cid:durableId="217786622">
    <w:abstractNumId w:val="1"/>
  </w:num>
  <w:num w:numId="7" w16cid:durableId="1759671872">
    <w:abstractNumId w:val="2"/>
  </w:num>
  <w:num w:numId="8" w16cid:durableId="120806067">
    <w:abstractNumId w:val="3"/>
  </w:num>
  <w:num w:numId="9" w16cid:durableId="207766273">
    <w:abstractNumId w:val="4"/>
  </w:num>
  <w:num w:numId="10" w16cid:durableId="1101801184">
    <w:abstractNumId w:val="5"/>
  </w:num>
  <w:num w:numId="11" w16cid:durableId="485822195">
    <w:abstractNumId w:val="6"/>
  </w:num>
  <w:num w:numId="12" w16cid:durableId="758210663">
    <w:abstractNumId w:val="7"/>
  </w:num>
  <w:num w:numId="13" w16cid:durableId="1697073393">
    <w:abstractNumId w:val="0"/>
  </w:num>
  <w:num w:numId="14" w16cid:durableId="1828790400">
    <w:abstractNumId w:val="1"/>
  </w:num>
  <w:num w:numId="15" w16cid:durableId="604536280">
    <w:abstractNumId w:val="2"/>
  </w:num>
  <w:num w:numId="16" w16cid:durableId="1287851415">
    <w:abstractNumId w:val="3"/>
  </w:num>
  <w:num w:numId="17" w16cid:durableId="205878902">
    <w:abstractNumId w:val="4"/>
  </w:num>
  <w:num w:numId="18" w16cid:durableId="631863535">
    <w:abstractNumId w:val="5"/>
  </w:num>
  <w:num w:numId="19" w16cid:durableId="754474643">
    <w:abstractNumId w:val="6"/>
  </w:num>
  <w:num w:numId="20" w16cid:durableId="26511344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01D"/>
    <w:rsid w:val="000015D2"/>
    <w:rsid w:val="00007AB9"/>
    <w:rsid w:val="00015AF7"/>
    <w:rsid w:val="00023A6A"/>
    <w:rsid w:val="00037D68"/>
    <w:rsid w:val="00043F21"/>
    <w:rsid w:val="00060AFF"/>
    <w:rsid w:val="0006337E"/>
    <w:rsid w:val="000633BE"/>
    <w:rsid w:val="000640D1"/>
    <w:rsid w:val="00064230"/>
    <w:rsid w:val="00064539"/>
    <w:rsid w:val="000660BD"/>
    <w:rsid w:val="000810EE"/>
    <w:rsid w:val="00081A38"/>
    <w:rsid w:val="000B1F79"/>
    <w:rsid w:val="000B2316"/>
    <w:rsid w:val="000B5E93"/>
    <w:rsid w:val="000C0383"/>
    <w:rsid w:val="000C0D30"/>
    <w:rsid w:val="000D1648"/>
    <w:rsid w:val="000E4698"/>
    <w:rsid w:val="001024F4"/>
    <w:rsid w:val="00106ED3"/>
    <w:rsid w:val="00110A01"/>
    <w:rsid w:val="00110BF7"/>
    <w:rsid w:val="00111D2E"/>
    <w:rsid w:val="00120B9E"/>
    <w:rsid w:val="00124EA6"/>
    <w:rsid w:val="0013129B"/>
    <w:rsid w:val="00132F94"/>
    <w:rsid w:val="00134DD4"/>
    <w:rsid w:val="0013564B"/>
    <w:rsid w:val="001420C4"/>
    <w:rsid w:val="0014323F"/>
    <w:rsid w:val="00155502"/>
    <w:rsid w:val="00157DC8"/>
    <w:rsid w:val="00161110"/>
    <w:rsid w:val="00164A17"/>
    <w:rsid w:val="001768BA"/>
    <w:rsid w:val="00197E23"/>
    <w:rsid w:val="001A7A18"/>
    <w:rsid w:val="001C149E"/>
    <w:rsid w:val="001D2082"/>
    <w:rsid w:val="001D6FF3"/>
    <w:rsid w:val="001E0A8D"/>
    <w:rsid w:val="001E74B6"/>
    <w:rsid w:val="001F301D"/>
    <w:rsid w:val="001F756D"/>
    <w:rsid w:val="00212B72"/>
    <w:rsid w:val="00224AC3"/>
    <w:rsid w:val="002337ED"/>
    <w:rsid w:val="002350EC"/>
    <w:rsid w:val="002357C8"/>
    <w:rsid w:val="0025625A"/>
    <w:rsid w:val="002710DA"/>
    <w:rsid w:val="00280506"/>
    <w:rsid w:val="00284D29"/>
    <w:rsid w:val="00294798"/>
    <w:rsid w:val="002A056A"/>
    <w:rsid w:val="002B1FE4"/>
    <w:rsid w:val="002C0D53"/>
    <w:rsid w:val="002D2333"/>
    <w:rsid w:val="002D7D6E"/>
    <w:rsid w:val="002E1339"/>
    <w:rsid w:val="002E443B"/>
    <w:rsid w:val="00301DB0"/>
    <w:rsid w:val="00312D9F"/>
    <w:rsid w:val="00313EF2"/>
    <w:rsid w:val="003161C0"/>
    <w:rsid w:val="003222C6"/>
    <w:rsid w:val="00347BEC"/>
    <w:rsid w:val="00351055"/>
    <w:rsid w:val="003706A9"/>
    <w:rsid w:val="003918FA"/>
    <w:rsid w:val="003B4DEB"/>
    <w:rsid w:val="003B6265"/>
    <w:rsid w:val="003C5BA3"/>
    <w:rsid w:val="003C6A45"/>
    <w:rsid w:val="003D2D1B"/>
    <w:rsid w:val="003E3189"/>
    <w:rsid w:val="003E5948"/>
    <w:rsid w:val="003E6B84"/>
    <w:rsid w:val="003F4CBA"/>
    <w:rsid w:val="003F6057"/>
    <w:rsid w:val="003F6337"/>
    <w:rsid w:val="0040671A"/>
    <w:rsid w:val="00407307"/>
    <w:rsid w:val="00410EC8"/>
    <w:rsid w:val="004135D3"/>
    <w:rsid w:val="00425165"/>
    <w:rsid w:val="00426B72"/>
    <w:rsid w:val="004279F4"/>
    <w:rsid w:val="00437BDC"/>
    <w:rsid w:val="00464636"/>
    <w:rsid w:val="004646ED"/>
    <w:rsid w:val="004663B1"/>
    <w:rsid w:val="0048357E"/>
    <w:rsid w:val="004856F8"/>
    <w:rsid w:val="004967E2"/>
    <w:rsid w:val="004A4812"/>
    <w:rsid w:val="004B0DD0"/>
    <w:rsid w:val="004D2A39"/>
    <w:rsid w:val="004D3B29"/>
    <w:rsid w:val="004D5F2F"/>
    <w:rsid w:val="00505273"/>
    <w:rsid w:val="00515529"/>
    <w:rsid w:val="00517203"/>
    <w:rsid w:val="0052154B"/>
    <w:rsid w:val="00540A2B"/>
    <w:rsid w:val="00541840"/>
    <w:rsid w:val="0055372E"/>
    <w:rsid w:val="00560019"/>
    <w:rsid w:val="00560AA8"/>
    <w:rsid w:val="005632EE"/>
    <w:rsid w:val="00574015"/>
    <w:rsid w:val="00575DA1"/>
    <w:rsid w:val="0058121E"/>
    <w:rsid w:val="005B0F3B"/>
    <w:rsid w:val="00630D6F"/>
    <w:rsid w:val="00642349"/>
    <w:rsid w:val="00657119"/>
    <w:rsid w:val="00664446"/>
    <w:rsid w:val="00664567"/>
    <w:rsid w:val="006654FD"/>
    <w:rsid w:val="00666043"/>
    <w:rsid w:val="0066699B"/>
    <w:rsid w:val="00666BF3"/>
    <w:rsid w:val="00667E20"/>
    <w:rsid w:val="00670586"/>
    <w:rsid w:val="00676146"/>
    <w:rsid w:val="006967BA"/>
    <w:rsid w:val="006A431B"/>
    <w:rsid w:val="006A496C"/>
    <w:rsid w:val="006B7E89"/>
    <w:rsid w:val="006C24A6"/>
    <w:rsid w:val="006C5AED"/>
    <w:rsid w:val="006D5751"/>
    <w:rsid w:val="006E350B"/>
    <w:rsid w:val="006E4495"/>
    <w:rsid w:val="006F5838"/>
    <w:rsid w:val="0070222D"/>
    <w:rsid w:val="00717FEE"/>
    <w:rsid w:val="00720E67"/>
    <w:rsid w:val="0073057C"/>
    <w:rsid w:val="007329A1"/>
    <w:rsid w:val="007335D4"/>
    <w:rsid w:val="00761216"/>
    <w:rsid w:val="007653A2"/>
    <w:rsid w:val="0078017B"/>
    <w:rsid w:val="007827CF"/>
    <w:rsid w:val="00782F83"/>
    <w:rsid w:val="007933C7"/>
    <w:rsid w:val="00797660"/>
    <w:rsid w:val="007C0E25"/>
    <w:rsid w:val="007C1259"/>
    <w:rsid w:val="007E1097"/>
    <w:rsid w:val="007F1B00"/>
    <w:rsid w:val="007F54AA"/>
    <w:rsid w:val="00800979"/>
    <w:rsid w:val="00815492"/>
    <w:rsid w:val="00820817"/>
    <w:rsid w:val="008263C3"/>
    <w:rsid w:val="008272E0"/>
    <w:rsid w:val="00832A4A"/>
    <w:rsid w:val="00841BFC"/>
    <w:rsid w:val="00843560"/>
    <w:rsid w:val="00853D30"/>
    <w:rsid w:val="00855AF0"/>
    <w:rsid w:val="00857864"/>
    <w:rsid w:val="00867F1D"/>
    <w:rsid w:val="00870C38"/>
    <w:rsid w:val="00883F1C"/>
    <w:rsid w:val="0088539D"/>
    <w:rsid w:val="00891C43"/>
    <w:rsid w:val="0089452D"/>
    <w:rsid w:val="00894DBF"/>
    <w:rsid w:val="00896FB5"/>
    <w:rsid w:val="008B42EC"/>
    <w:rsid w:val="008C3245"/>
    <w:rsid w:val="008D77F5"/>
    <w:rsid w:val="008E06F0"/>
    <w:rsid w:val="008E37D1"/>
    <w:rsid w:val="008E723A"/>
    <w:rsid w:val="009021BD"/>
    <w:rsid w:val="00922C8C"/>
    <w:rsid w:val="00923A81"/>
    <w:rsid w:val="00931BE1"/>
    <w:rsid w:val="009323BA"/>
    <w:rsid w:val="00932921"/>
    <w:rsid w:val="009338A3"/>
    <w:rsid w:val="00940AFF"/>
    <w:rsid w:val="00942BFD"/>
    <w:rsid w:val="00944EB9"/>
    <w:rsid w:val="009A5F44"/>
    <w:rsid w:val="009B1D74"/>
    <w:rsid w:val="009B2D31"/>
    <w:rsid w:val="009C17B6"/>
    <w:rsid w:val="009C7647"/>
    <w:rsid w:val="009D633B"/>
    <w:rsid w:val="009E5F56"/>
    <w:rsid w:val="009F106C"/>
    <w:rsid w:val="009F670B"/>
    <w:rsid w:val="00A120FF"/>
    <w:rsid w:val="00A1362D"/>
    <w:rsid w:val="00A15E54"/>
    <w:rsid w:val="00A161FE"/>
    <w:rsid w:val="00A2598B"/>
    <w:rsid w:val="00A35FAC"/>
    <w:rsid w:val="00A4374A"/>
    <w:rsid w:val="00A71051"/>
    <w:rsid w:val="00A778D3"/>
    <w:rsid w:val="00A81FC2"/>
    <w:rsid w:val="00A86C0D"/>
    <w:rsid w:val="00A91D91"/>
    <w:rsid w:val="00AA6446"/>
    <w:rsid w:val="00AA7B4A"/>
    <w:rsid w:val="00AB2C72"/>
    <w:rsid w:val="00AB4D70"/>
    <w:rsid w:val="00AB69A7"/>
    <w:rsid w:val="00AC4107"/>
    <w:rsid w:val="00AC5582"/>
    <w:rsid w:val="00AD0248"/>
    <w:rsid w:val="00AD353E"/>
    <w:rsid w:val="00AD3B3A"/>
    <w:rsid w:val="00AE4DC3"/>
    <w:rsid w:val="00AE7381"/>
    <w:rsid w:val="00AF2FD3"/>
    <w:rsid w:val="00B00F4C"/>
    <w:rsid w:val="00B160F6"/>
    <w:rsid w:val="00B2570E"/>
    <w:rsid w:val="00B30934"/>
    <w:rsid w:val="00B508EA"/>
    <w:rsid w:val="00B514AF"/>
    <w:rsid w:val="00B60659"/>
    <w:rsid w:val="00B75E1E"/>
    <w:rsid w:val="00B80182"/>
    <w:rsid w:val="00B80C41"/>
    <w:rsid w:val="00B81898"/>
    <w:rsid w:val="00B82D77"/>
    <w:rsid w:val="00B83801"/>
    <w:rsid w:val="00B9443C"/>
    <w:rsid w:val="00BA0844"/>
    <w:rsid w:val="00BA3114"/>
    <w:rsid w:val="00BD0BF6"/>
    <w:rsid w:val="00BE1513"/>
    <w:rsid w:val="00BE37F5"/>
    <w:rsid w:val="00BF068A"/>
    <w:rsid w:val="00BF36C8"/>
    <w:rsid w:val="00BF661F"/>
    <w:rsid w:val="00C031BB"/>
    <w:rsid w:val="00C0366F"/>
    <w:rsid w:val="00C169C2"/>
    <w:rsid w:val="00C41B36"/>
    <w:rsid w:val="00C55A5E"/>
    <w:rsid w:val="00C7563B"/>
    <w:rsid w:val="00C8105A"/>
    <w:rsid w:val="00C8485D"/>
    <w:rsid w:val="00CA40A7"/>
    <w:rsid w:val="00CA60C7"/>
    <w:rsid w:val="00CA66F8"/>
    <w:rsid w:val="00CA7963"/>
    <w:rsid w:val="00CC4300"/>
    <w:rsid w:val="00CD7C8D"/>
    <w:rsid w:val="00CE407B"/>
    <w:rsid w:val="00CF3C11"/>
    <w:rsid w:val="00CF52F9"/>
    <w:rsid w:val="00CF658F"/>
    <w:rsid w:val="00D0272C"/>
    <w:rsid w:val="00D12F0D"/>
    <w:rsid w:val="00D17B1F"/>
    <w:rsid w:val="00D209F1"/>
    <w:rsid w:val="00D22E42"/>
    <w:rsid w:val="00D30CE8"/>
    <w:rsid w:val="00D37173"/>
    <w:rsid w:val="00D37DE6"/>
    <w:rsid w:val="00D442F0"/>
    <w:rsid w:val="00D4775C"/>
    <w:rsid w:val="00D51619"/>
    <w:rsid w:val="00D538F7"/>
    <w:rsid w:val="00D70C0B"/>
    <w:rsid w:val="00D70DC3"/>
    <w:rsid w:val="00D71999"/>
    <w:rsid w:val="00D76007"/>
    <w:rsid w:val="00D82ECC"/>
    <w:rsid w:val="00D87F97"/>
    <w:rsid w:val="00DA2009"/>
    <w:rsid w:val="00DB1C08"/>
    <w:rsid w:val="00DC7006"/>
    <w:rsid w:val="00DD07E9"/>
    <w:rsid w:val="00DE71A8"/>
    <w:rsid w:val="00DF7153"/>
    <w:rsid w:val="00E073FF"/>
    <w:rsid w:val="00E07E89"/>
    <w:rsid w:val="00E132B2"/>
    <w:rsid w:val="00E179EB"/>
    <w:rsid w:val="00E26FAE"/>
    <w:rsid w:val="00E27197"/>
    <w:rsid w:val="00E35C7B"/>
    <w:rsid w:val="00E563BB"/>
    <w:rsid w:val="00E56486"/>
    <w:rsid w:val="00E704B5"/>
    <w:rsid w:val="00E753E6"/>
    <w:rsid w:val="00E83265"/>
    <w:rsid w:val="00E87AFF"/>
    <w:rsid w:val="00E95AB5"/>
    <w:rsid w:val="00EA5571"/>
    <w:rsid w:val="00EB1340"/>
    <w:rsid w:val="00EB36D0"/>
    <w:rsid w:val="00EB45B0"/>
    <w:rsid w:val="00EC23FB"/>
    <w:rsid w:val="00EC641D"/>
    <w:rsid w:val="00EE7FBD"/>
    <w:rsid w:val="00F01536"/>
    <w:rsid w:val="00F04237"/>
    <w:rsid w:val="00F120A0"/>
    <w:rsid w:val="00F24AF5"/>
    <w:rsid w:val="00F61C66"/>
    <w:rsid w:val="00F8248C"/>
    <w:rsid w:val="00F9029B"/>
    <w:rsid w:val="00F925C3"/>
    <w:rsid w:val="00F97BFC"/>
    <w:rsid w:val="00FA587C"/>
    <w:rsid w:val="00FA6270"/>
    <w:rsid w:val="00FA794A"/>
    <w:rsid w:val="00FB21FA"/>
    <w:rsid w:val="00FC59A9"/>
    <w:rsid w:val="00FD52C3"/>
    <w:rsid w:val="00FE4838"/>
    <w:rsid w:val="00FE6C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6DD863"/>
  <w15:docId w15:val="{FDB72939-260E-2A49-BF78-5B9985282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F94"/>
    <w:pPr>
      <w:spacing w:after="240" w:line="288" w:lineRule="auto"/>
    </w:pPr>
    <w:rPr>
      <w:rFonts w:ascii="Garamond" w:hAnsi="Garamond"/>
    </w:rPr>
  </w:style>
  <w:style w:type="paragraph" w:styleId="Heading1">
    <w:name w:val="heading 1"/>
    <w:basedOn w:val="Normal"/>
    <w:next w:val="Normal"/>
    <w:link w:val="Heading1Char"/>
    <w:autoRedefine/>
    <w:uiPriority w:val="9"/>
    <w:qFormat/>
    <w:rsid w:val="00BF068A"/>
    <w:pPr>
      <w:keepNext/>
      <w:keepLines/>
      <w:spacing w:before="240" w:after="120" w:line="240" w:lineRule="auto"/>
      <w:outlineLvl w:val="0"/>
    </w:pPr>
    <w:rPr>
      <w:rFonts w:ascii="Calibri" w:eastAsiaTheme="majorEastAsia" w:hAnsi="Calibri" w:cstheme="minorHAnsi"/>
      <w:b/>
      <w:sz w:val="24"/>
      <w:szCs w:val="24"/>
    </w:rPr>
  </w:style>
  <w:style w:type="paragraph" w:styleId="Heading2">
    <w:name w:val="heading 2"/>
    <w:basedOn w:val="Normal"/>
    <w:next w:val="Normal"/>
    <w:link w:val="Heading2Char"/>
    <w:uiPriority w:val="9"/>
    <w:unhideWhenUsed/>
    <w:qFormat/>
    <w:rsid w:val="007933C7"/>
    <w:pPr>
      <w:keepNext/>
      <w:keepLines/>
      <w:spacing w:before="200" w:after="0"/>
      <w:outlineLvl w:val="1"/>
    </w:pPr>
    <w:rPr>
      <w:rFonts w:ascii="Calibri" w:eastAsiaTheme="majorEastAsia" w:hAnsi="Calibri" w:cstheme="minorHAnsi"/>
      <w:b/>
      <w:bCs/>
      <w:i/>
      <w:sz w:val="23"/>
      <w:szCs w:val="24"/>
    </w:rPr>
  </w:style>
  <w:style w:type="paragraph" w:styleId="Heading3">
    <w:name w:val="heading 3"/>
    <w:basedOn w:val="Normal"/>
    <w:next w:val="Normal"/>
    <w:link w:val="Heading3Char"/>
    <w:uiPriority w:val="9"/>
    <w:unhideWhenUsed/>
    <w:qFormat/>
    <w:rsid w:val="00F8248C"/>
    <w:pPr>
      <w:outlineLvl w:val="2"/>
    </w:pPr>
    <w:rPr>
      <w:rFonts w:ascii="Calibri" w:hAnsi="Calibri"/>
      <w:b/>
      <w:sz w:val="21"/>
    </w:rPr>
  </w:style>
  <w:style w:type="paragraph" w:styleId="Heading4">
    <w:name w:val="heading 4"/>
    <w:basedOn w:val="Normal"/>
    <w:next w:val="Normal"/>
    <w:link w:val="Heading4Char"/>
    <w:uiPriority w:val="9"/>
    <w:semiHidden/>
    <w:unhideWhenUsed/>
    <w:qFormat/>
    <w:rsid w:val="00037D68"/>
    <w:pPr>
      <w:keepNext/>
      <w:keepLines/>
      <w:spacing w:before="200" w:after="0"/>
      <w:outlineLvl w:val="3"/>
    </w:pPr>
    <w:rPr>
      <w:rFonts w:ascii="Arial Black" w:eastAsiaTheme="majorEastAsia" w:hAnsi="Arial Black" w:cstheme="majorBidi"/>
      <w:bCs/>
      <w:iCs/>
      <w:color w:val="002152" w:themeColor="accen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4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300"/>
    <w:rPr>
      <w:rFonts w:ascii="Tahoma" w:hAnsi="Tahoma" w:cs="Tahoma"/>
      <w:sz w:val="16"/>
      <w:szCs w:val="16"/>
    </w:rPr>
  </w:style>
  <w:style w:type="paragraph" w:styleId="Header">
    <w:name w:val="header"/>
    <w:basedOn w:val="Normal"/>
    <w:link w:val="HeaderChar"/>
    <w:uiPriority w:val="99"/>
    <w:unhideWhenUsed/>
    <w:rsid w:val="00BE37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7F5"/>
  </w:style>
  <w:style w:type="paragraph" w:styleId="Footer">
    <w:name w:val="footer"/>
    <w:basedOn w:val="Normal"/>
    <w:link w:val="FooterChar"/>
    <w:uiPriority w:val="99"/>
    <w:unhideWhenUsed/>
    <w:rsid w:val="004646ED"/>
    <w:pPr>
      <w:tabs>
        <w:tab w:val="center" w:pos="4680"/>
        <w:tab w:val="right" w:pos="9360"/>
      </w:tabs>
      <w:spacing w:after="0" w:line="240" w:lineRule="auto"/>
    </w:pPr>
    <w:rPr>
      <w:rFonts w:ascii="Calibri" w:hAnsi="Calibri"/>
      <w:sz w:val="16"/>
    </w:rPr>
  </w:style>
  <w:style w:type="character" w:customStyle="1" w:styleId="FooterChar">
    <w:name w:val="Footer Char"/>
    <w:basedOn w:val="DefaultParagraphFont"/>
    <w:link w:val="Footer"/>
    <w:uiPriority w:val="99"/>
    <w:rsid w:val="004646ED"/>
    <w:rPr>
      <w:rFonts w:ascii="Calibri" w:hAnsi="Calibri"/>
      <w:sz w:val="16"/>
    </w:rPr>
  </w:style>
  <w:style w:type="paragraph" w:styleId="Title">
    <w:name w:val="Title"/>
    <w:basedOn w:val="Normal"/>
    <w:next w:val="Normal"/>
    <w:link w:val="TitleChar"/>
    <w:uiPriority w:val="10"/>
    <w:qFormat/>
    <w:rsid w:val="008E37D1"/>
    <w:pPr>
      <w:spacing w:after="480" w:line="240" w:lineRule="auto"/>
      <w:jc w:val="center"/>
    </w:pPr>
    <w:rPr>
      <w:rFonts w:ascii="Calibri" w:eastAsiaTheme="majorEastAsia" w:hAnsi="Calibri" w:cstheme="minorHAnsi"/>
      <w:b/>
      <w:bCs/>
      <w:caps/>
      <w:color w:val="000000" w:themeColor="text2" w:themeShade="BF"/>
      <w:spacing w:val="5"/>
      <w:kern w:val="28"/>
      <w:sz w:val="26"/>
      <w:szCs w:val="28"/>
    </w:rPr>
  </w:style>
  <w:style w:type="character" w:customStyle="1" w:styleId="TitleChar">
    <w:name w:val="Title Char"/>
    <w:basedOn w:val="DefaultParagraphFont"/>
    <w:link w:val="Title"/>
    <w:uiPriority w:val="10"/>
    <w:rsid w:val="008E37D1"/>
    <w:rPr>
      <w:rFonts w:ascii="Calibri" w:eastAsiaTheme="majorEastAsia" w:hAnsi="Calibri" w:cstheme="minorHAnsi"/>
      <w:b/>
      <w:bCs/>
      <w:caps/>
      <w:color w:val="000000" w:themeColor="text2" w:themeShade="BF"/>
      <w:spacing w:val="5"/>
      <w:kern w:val="28"/>
      <w:sz w:val="26"/>
      <w:szCs w:val="28"/>
    </w:rPr>
  </w:style>
  <w:style w:type="character" w:customStyle="1" w:styleId="Heading1Char">
    <w:name w:val="Heading 1 Char"/>
    <w:basedOn w:val="DefaultParagraphFont"/>
    <w:link w:val="Heading1"/>
    <w:uiPriority w:val="9"/>
    <w:rsid w:val="00BF068A"/>
    <w:rPr>
      <w:rFonts w:ascii="Calibri" w:eastAsiaTheme="majorEastAsia" w:hAnsi="Calibri" w:cstheme="minorHAnsi"/>
      <w:b/>
      <w:sz w:val="24"/>
      <w:szCs w:val="24"/>
    </w:rPr>
  </w:style>
  <w:style w:type="character" w:customStyle="1" w:styleId="Heading2Char">
    <w:name w:val="Heading 2 Char"/>
    <w:basedOn w:val="DefaultParagraphFont"/>
    <w:link w:val="Heading2"/>
    <w:uiPriority w:val="9"/>
    <w:rsid w:val="007933C7"/>
    <w:rPr>
      <w:rFonts w:ascii="Calibri" w:eastAsiaTheme="majorEastAsia" w:hAnsi="Calibri" w:cstheme="minorHAnsi"/>
      <w:b/>
      <w:bCs/>
      <w:i/>
      <w:noProof/>
      <w:sz w:val="23"/>
      <w:szCs w:val="24"/>
    </w:rPr>
  </w:style>
  <w:style w:type="character" w:customStyle="1" w:styleId="Heading3Char">
    <w:name w:val="Heading 3 Char"/>
    <w:basedOn w:val="DefaultParagraphFont"/>
    <w:link w:val="Heading3"/>
    <w:uiPriority w:val="9"/>
    <w:rsid w:val="00F8248C"/>
    <w:rPr>
      <w:rFonts w:ascii="Calibri" w:hAnsi="Calibri"/>
      <w:b/>
      <w:noProof/>
      <w:sz w:val="21"/>
    </w:rPr>
  </w:style>
  <w:style w:type="paragraph" w:customStyle="1" w:styleId="Body1P">
    <w:name w:val="Body 1P"/>
    <w:basedOn w:val="Normal"/>
    <w:next w:val="Body"/>
    <w:autoRedefine/>
    <w:qFormat/>
    <w:rsid w:val="00D22E42"/>
  </w:style>
  <w:style w:type="paragraph" w:customStyle="1" w:styleId="Body">
    <w:name w:val="Body"/>
    <w:basedOn w:val="Body1P"/>
    <w:rsid w:val="00666043"/>
    <w:pPr>
      <w:ind w:firstLine="720"/>
    </w:pPr>
  </w:style>
  <w:style w:type="paragraph" w:styleId="Subtitle">
    <w:name w:val="Subtitle"/>
    <w:basedOn w:val="Normal"/>
    <w:next w:val="Normal"/>
    <w:link w:val="SubtitleChar"/>
    <w:uiPriority w:val="11"/>
    <w:qFormat/>
    <w:rsid w:val="002337ED"/>
    <w:pPr>
      <w:spacing w:line="240" w:lineRule="auto"/>
      <w:jc w:val="center"/>
    </w:pPr>
    <w:rPr>
      <w:rFonts w:ascii="Calibri" w:hAnsi="Calibri"/>
      <w:i/>
      <w:sz w:val="24"/>
      <w:szCs w:val="24"/>
    </w:rPr>
  </w:style>
  <w:style w:type="character" w:customStyle="1" w:styleId="SubtitleChar">
    <w:name w:val="Subtitle Char"/>
    <w:basedOn w:val="DefaultParagraphFont"/>
    <w:link w:val="Subtitle"/>
    <w:uiPriority w:val="11"/>
    <w:rsid w:val="002337ED"/>
    <w:rPr>
      <w:rFonts w:ascii="Calibri" w:hAnsi="Calibri"/>
      <w:i/>
      <w:noProof/>
      <w:sz w:val="24"/>
      <w:szCs w:val="24"/>
    </w:rPr>
  </w:style>
  <w:style w:type="paragraph" w:customStyle="1" w:styleId="NoParagraphStyle">
    <w:name w:val="[No Paragraph Style]"/>
    <w:rsid w:val="00F9029B"/>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FCIFigureBoxTableHeader">
    <w:name w:val="FCI_Figure/Box/Table Header"/>
    <w:basedOn w:val="NoParagraphStyle"/>
    <w:uiPriority w:val="99"/>
    <w:rsid w:val="00517203"/>
    <w:pPr>
      <w:spacing w:before="240" w:after="240" w:line="300" w:lineRule="atLeast"/>
    </w:pPr>
    <w:rPr>
      <w:rFonts w:ascii="Arial" w:hAnsi="Arial" w:cs="Optima-Bold"/>
      <w:b/>
      <w:bCs/>
    </w:rPr>
  </w:style>
  <w:style w:type="paragraph" w:customStyle="1" w:styleId="BoxHeader">
    <w:name w:val="Box Header"/>
    <w:basedOn w:val="Heading3"/>
    <w:rsid w:val="00CF3C11"/>
    <w:pPr>
      <w:ind w:left="144"/>
    </w:pPr>
    <w:rPr>
      <w:b w:val="0"/>
      <w:i/>
    </w:rPr>
  </w:style>
  <w:style w:type="paragraph" w:customStyle="1" w:styleId="BoxBody">
    <w:name w:val="Box Body"/>
    <w:basedOn w:val="Normal"/>
    <w:qFormat/>
    <w:rsid w:val="00666043"/>
    <w:pPr>
      <w:jc w:val="both"/>
    </w:pPr>
    <w:rPr>
      <w:rFonts w:ascii="Calibri" w:hAnsi="Calibri"/>
      <w:sz w:val="19"/>
    </w:rPr>
  </w:style>
  <w:style w:type="table" w:styleId="TableGrid">
    <w:name w:val="Table Grid"/>
    <w:aliases w:val="C2ES 2012 Table"/>
    <w:basedOn w:val="TableNormal"/>
    <w:uiPriority w:val="59"/>
    <w:rsid w:val="0058121E"/>
    <w:pPr>
      <w:spacing w:before="80" w:after="80" w:line="250" w:lineRule="atLeast"/>
    </w:pPr>
    <w:rPr>
      <w:rFonts w:ascii="Calibri" w:eastAsiaTheme="minorEastAsia" w:hAnsi="Calibri"/>
      <w:sz w:val="19"/>
      <w:szCs w:val="19"/>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line="180" w:lineRule="atLeast"/>
        <w:ind w:leftChars="0" w:left="0" w:rightChars="0" w:right="0" w:firstLineChars="0" w:firstLine="0"/>
        <w:contextualSpacing w:val="0"/>
        <w:outlineLvl w:val="9"/>
      </w:pPr>
      <w:rPr>
        <w:rFonts w:ascii="Calibri" w:hAnsi="Calibri"/>
        <w:b/>
        <w:i w:val="0"/>
        <w:caps/>
        <w:smallCaps w:val="0"/>
        <w:sz w:val="19"/>
      </w:rPr>
      <w:tblPr/>
      <w:tcPr>
        <w:shd w:val="clear" w:color="auto" w:fill="E8E5D8"/>
        <w:vAlign w:val="bottom"/>
      </w:tcPr>
    </w:tblStylePr>
    <w:tblStylePr w:type="lastRow">
      <w:rPr>
        <w:rFonts w:ascii="Calibri" w:hAnsi="Calibri"/>
        <w:i/>
        <w:sz w:val="19"/>
      </w:rPr>
    </w:tblStylePr>
    <w:tblStylePr w:type="firstCol">
      <w:rPr>
        <w:rFonts w:ascii="Calibri" w:hAnsi="Calibri"/>
        <w:i/>
        <w:sz w:val="19"/>
      </w:rPr>
    </w:tblStylePr>
    <w:tblStylePr w:type="lastCol">
      <w:rPr>
        <w:rFonts w:ascii="Calibri" w:hAnsi="Calibri"/>
        <w:sz w:val="19"/>
      </w:rPr>
    </w:tblStylePr>
    <w:tblStylePr w:type="band1Vert">
      <w:rPr>
        <w:rFonts w:ascii="Calibri" w:hAnsi="Calibri"/>
        <w:sz w:val="19"/>
      </w:rPr>
    </w:tblStylePr>
    <w:tblStylePr w:type="band2Vert">
      <w:rPr>
        <w:rFonts w:ascii="Calibri" w:hAnsi="Calibri"/>
        <w:sz w:val="19"/>
      </w:rPr>
    </w:tblStylePr>
    <w:tblStylePr w:type="band1Horz">
      <w:rPr>
        <w:rFonts w:ascii="Calibri" w:hAnsi="Calibri"/>
        <w:sz w:val="19"/>
      </w:rPr>
    </w:tblStylePr>
    <w:tblStylePr w:type="band2Horz">
      <w:rPr>
        <w:rFonts w:ascii="Calibri" w:hAnsi="Calibri"/>
        <w:sz w:val="19"/>
      </w:rPr>
    </w:tblStylePr>
    <w:tblStylePr w:type="neCell">
      <w:rPr>
        <w:rFonts w:ascii="Calibri" w:hAnsi="Calibri"/>
        <w:sz w:val="19"/>
      </w:rPr>
    </w:tblStylePr>
    <w:tblStylePr w:type="nwCell">
      <w:rPr>
        <w:rFonts w:ascii="Calibri" w:hAnsi="Calibri"/>
        <w:sz w:val="19"/>
      </w:rPr>
    </w:tblStylePr>
    <w:tblStylePr w:type="seCell">
      <w:rPr>
        <w:rFonts w:ascii="Calibri" w:hAnsi="Calibri"/>
        <w:sz w:val="19"/>
      </w:rPr>
    </w:tblStylePr>
    <w:tblStylePr w:type="swCell">
      <w:rPr>
        <w:rFonts w:ascii="Calibri" w:hAnsi="Calibri"/>
        <w:sz w:val="19"/>
      </w:rPr>
    </w:tblStylePr>
  </w:style>
  <w:style w:type="character" w:styleId="SubtleEmphasis">
    <w:name w:val="Subtle Emphasis"/>
    <w:basedOn w:val="DefaultParagraphFont"/>
    <w:uiPriority w:val="19"/>
    <w:rsid w:val="00517203"/>
    <w:rPr>
      <w:i/>
      <w:iCs/>
      <w:color w:val="297FFF" w:themeColor="text1" w:themeTint="7F"/>
    </w:rPr>
  </w:style>
  <w:style w:type="paragraph" w:styleId="EndnoteText">
    <w:name w:val="endnote text"/>
    <w:basedOn w:val="Normal"/>
    <w:link w:val="EndnoteTextChar"/>
    <w:uiPriority w:val="99"/>
    <w:unhideWhenUsed/>
    <w:qFormat/>
    <w:rsid w:val="0006337E"/>
    <w:pPr>
      <w:spacing w:before="80" w:after="40" w:line="280" w:lineRule="atLeast"/>
      <w:ind w:firstLine="475"/>
    </w:pPr>
    <w:rPr>
      <w:sz w:val="20"/>
      <w:szCs w:val="20"/>
    </w:rPr>
  </w:style>
  <w:style w:type="character" w:customStyle="1" w:styleId="EndnoteTextChar">
    <w:name w:val="Endnote Text Char"/>
    <w:basedOn w:val="DefaultParagraphFont"/>
    <w:link w:val="EndnoteText"/>
    <w:uiPriority w:val="99"/>
    <w:rsid w:val="0006337E"/>
    <w:rPr>
      <w:rFonts w:ascii="Garamond" w:hAnsi="Garamond"/>
      <w:noProof/>
      <w:sz w:val="20"/>
      <w:szCs w:val="20"/>
    </w:rPr>
  </w:style>
  <w:style w:type="character" w:styleId="EndnoteReference">
    <w:name w:val="endnote reference"/>
    <w:basedOn w:val="DefaultParagraphFont"/>
    <w:uiPriority w:val="99"/>
    <w:unhideWhenUsed/>
    <w:rsid w:val="00517203"/>
    <w:rPr>
      <w:vertAlign w:val="superscript"/>
    </w:rPr>
  </w:style>
  <w:style w:type="paragraph" w:customStyle="1" w:styleId="Endnotes">
    <w:name w:val="Endnotes"/>
    <w:basedOn w:val="Body1P"/>
    <w:rsid w:val="00517203"/>
    <w:pPr>
      <w:ind w:firstLine="720"/>
    </w:pPr>
  </w:style>
  <w:style w:type="paragraph" w:styleId="NoSpacing">
    <w:name w:val="No Spacing"/>
    <w:uiPriority w:val="1"/>
    <w:rsid w:val="00284D29"/>
    <w:pPr>
      <w:spacing w:after="0" w:line="240" w:lineRule="auto"/>
      <w:contextualSpacing/>
    </w:pPr>
    <w:rPr>
      <w:rFonts w:ascii="Garamond" w:hAnsi="Garamond"/>
    </w:rPr>
  </w:style>
  <w:style w:type="paragraph" w:customStyle="1" w:styleId="GraphicCaptions">
    <w:name w:val="Graphic Captions"/>
    <w:basedOn w:val="NoParagraphStyle"/>
    <w:uiPriority w:val="99"/>
    <w:rsid w:val="003222C6"/>
    <w:pPr>
      <w:keepNext/>
      <w:spacing w:before="80"/>
    </w:pPr>
    <w:rPr>
      <w:rFonts w:ascii="Book Antiqua" w:hAnsi="Book Antiqua" w:cs="Optima-Regular"/>
      <w:spacing w:val="-2"/>
      <w:sz w:val="17"/>
      <w:szCs w:val="17"/>
    </w:rPr>
  </w:style>
  <w:style w:type="paragraph" w:customStyle="1" w:styleId="GraphicHeader">
    <w:name w:val="Graphic Header"/>
    <w:basedOn w:val="NoParagraphStyle"/>
    <w:uiPriority w:val="99"/>
    <w:qFormat/>
    <w:rsid w:val="003222C6"/>
    <w:pPr>
      <w:keepNext/>
      <w:spacing w:before="240" w:after="240"/>
    </w:pPr>
    <w:rPr>
      <w:rFonts w:ascii="Calibri" w:hAnsi="Calibri" w:cs="Optima-Bold"/>
      <w:b/>
      <w:bCs/>
    </w:rPr>
  </w:style>
  <w:style w:type="paragraph" w:customStyle="1" w:styleId="GraphicSource">
    <w:name w:val="Graphic Source"/>
    <w:basedOn w:val="NoParagraphStyle"/>
    <w:uiPriority w:val="99"/>
    <w:qFormat/>
    <w:rsid w:val="00664567"/>
    <w:pPr>
      <w:spacing w:before="120" w:after="120"/>
    </w:pPr>
    <w:rPr>
      <w:rFonts w:ascii="Calibri" w:hAnsi="Calibri" w:cs="Optima-Italic"/>
      <w:i/>
      <w:iCs/>
      <w:sz w:val="14"/>
      <w:szCs w:val="14"/>
    </w:rPr>
  </w:style>
  <w:style w:type="paragraph" w:customStyle="1" w:styleId="FCIcharttextbold">
    <w:name w:val="FCI_chart text bold"/>
    <w:basedOn w:val="NoParagraphStyle"/>
    <w:uiPriority w:val="99"/>
    <w:rsid w:val="00517203"/>
    <w:pPr>
      <w:spacing w:before="80"/>
    </w:pPr>
    <w:rPr>
      <w:rFonts w:ascii="Optima LT Std" w:hAnsi="Optima LT Std" w:cs="Optima-Bold"/>
      <w:b/>
      <w:bCs/>
      <w:sz w:val="16"/>
      <w:szCs w:val="16"/>
    </w:rPr>
  </w:style>
  <w:style w:type="paragraph" w:customStyle="1" w:styleId="FCIcharttable7ptRegular">
    <w:name w:val="FCI_chart/table 7 pt Regular"/>
    <w:basedOn w:val="NoParagraphStyle"/>
    <w:uiPriority w:val="99"/>
    <w:rsid w:val="00517203"/>
    <w:pPr>
      <w:spacing w:before="60"/>
    </w:pPr>
    <w:rPr>
      <w:rFonts w:ascii="Optima LT Std" w:hAnsi="Optima LT Std" w:cs="Optima-Regular"/>
      <w:sz w:val="14"/>
      <w:szCs w:val="14"/>
    </w:rPr>
  </w:style>
  <w:style w:type="character" w:customStyle="1" w:styleId="Heading4Char">
    <w:name w:val="Heading 4 Char"/>
    <w:basedOn w:val="DefaultParagraphFont"/>
    <w:link w:val="Heading4"/>
    <w:uiPriority w:val="9"/>
    <w:semiHidden/>
    <w:rsid w:val="00037D68"/>
    <w:rPr>
      <w:rFonts w:ascii="Arial Black" w:eastAsiaTheme="majorEastAsia" w:hAnsi="Arial Black" w:cstheme="majorBidi"/>
      <w:bCs/>
      <w:iCs/>
      <w:color w:val="002152" w:themeColor="accent1"/>
      <w:sz w:val="20"/>
    </w:rPr>
  </w:style>
  <w:style w:type="paragraph" w:customStyle="1" w:styleId="Bullets">
    <w:name w:val="Bullets"/>
    <w:basedOn w:val="Body"/>
    <w:qFormat/>
    <w:rsid w:val="00043F21"/>
    <w:pPr>
      <w:numPr>
        <w:numId w:val="1"/>
      </w:numPr>
    </w:pPr>
  </w:style>
  <w:style w:type="paragraph" w:customStyle="1" w:styleId="ColorfulList-Accent11">
    <w:name w:val="Colorful List - Accent 11"/>
    <w:basedOn w:val="Normal"/>
    <w:uiPriority w:val="34"/>
    <w:rsid w:val="00124EA6"/>
    <w:pPr>
      <w:spacing w:after="200" w:line="276" w:lineRule="auto"/>
      <w:ind w:left="720"/>
    </w:pPr>
    <w:rPr>
      <w:rFonts w:eastAsiaTheme="minorEastAsia"/>
    </w:rPr>
  </w:style>
  <w:style w:type="paragraph" w:styleId="ListParagraph">
    <w:name w:val="List Paragraph"/>
    <w:basedOn w:val="Normal"/>
    <w:uiPriority w:val="34"/>
    <w:rsid w:val="00124EA6"/>
    <w:pPr>
      <w:spacing w:after="200" w:line="276" w:lineRule="auto"/>
      <w:ind w:left="720"/>
    </w:pPr>
    <w:rPr>
      <w:rFonts w:eastAsiaTheme="minorEastAsia"/>
    </w:rPr>
  </w:style>
  <w:style w:type="paragraph" w:styleId="Caption">
    <w:name w:val="caption"/>
    <w:basedOn w:val="Normal"/>
    <w:next w:val="Normal"/>
    <w:uiPriority w:val="35"/>
    <w:unhideWhenUsed/>
    <w:qFormat/>
    <w:rsid w:val="007F1B00"/>
    <w:pPr>
      <w:spacing w:after="200" w:line="240" w:lineRule="auto"/>
    </w:pPr>
    <w:rPr>
      <w:rFonts w:ascii="Calibri" w:hAnsi="Calibri"/>
      <w:bCs/>
      <w:sz w:val="18"/>
      <w:szCs w:val="18"/>
    </w:rPr>
  </w:style>
  <w:style w:type="character" w:styleId="Hyperlink">
    <w:name w:val="Hyperlink"/>
    <w:basedOn w:val="DefaultParagraphFont"/>
    <w:uiPriority w:val="99"/>
    <w:unhideWhenUsed/>
    <w:rsid w:val="00043F21"/>
    <w:rPr>
      <w:color w:val="002152" w:themeColor="hyperlink"/>
      <w:u w:val="single"/>
    </w:rPr>
  </w:style>
  <w:style w:type="paragraph" w:styleId="ListBullet">
    <w:name w:val="List Bullet"/>
    <w:basedOn w:val="Normal"/>
    <w:uiPriority w:val="99"/>
    <w:unhideWhenUsed/>
    <w:rsid w:val="006A431B"/>
    <w:pPr>
      <w:numPr>
        <w:numId w:val="2"/>
      </w:numPr>
      <w:contextualSpacing/>
    </w:pPr>
  </w:style>
  <w:style w:type="paragraph" w:styleId="ListNumber">
    <w:name w:val="List Number"/>
    <w:basedOn w:val="Normal"/>
    <w:uiPriority w:val="99"/>
    <w:unhideWhenUsed/>
    <w:rsid w:val="00CA66F8"/>
    <w:pPr>
      <w:numPr>
        <w:numId w:val="3"/>
      </w:numPr>
      <w:tabs>
        <w:tab w:val="clear" w:pos="360"/>
        <w:tab w:val="num" w:pos="720"/>
      </w:tabs>
      <w:ind w:left="720"/>
      <w:contextualSpacing/>
    </w:pPr>
  </w:style>
  <w:style w:type="paragraph" w:customStyle="1" w:styleId="Bulletlist">
    <w:name w:val="Bullet list"/>
    <w:basedOn w:val="Bullets"/>
    <w:qFormat/>
    <w:rsid w:val="006A431B"/>
    <w:pPr>
      <w:contextualSpacing/>
    </w:pPr>
  </w:style>
  <w:style w:type="paragraph" w:customStyle="1" w:styleId="NumberedList">
    <w:name w:val="Numbered List"/>
    <w:basedOn w:val="Bulletlist"/>
    <w:qFormat/>
    <w:rsid w:val="006A431B"/>
    <w:pPr>
      <w:numPr>
        <w:numId w:val="4"/>
      </w:numPr>
    </w:pPr>
  </w:style>
  <w:style w:type="paragraph" w:customStyle="1" w:styleId="FCI2pageTITLE">
    <w:name w:val="FCI_2 page TITLE"/>
    <w:basedOn w:val="Normal"/>
    <w:uiPriority w:val="99"/>
    <w:rsid w:val="006654FD"/>
    <w:pPr>
      <w:widowControl w:val="0"/>
      <w:autoSpaceDE w:val="0"/>
      <w:autoSpaceDN w:val="0"/>
      <w:adjustRightInd w:val="0"/>
      <w:spacing w:after="0" w:line="480" w:lineRule="atLeast"/>
      <w:textAlignment w:val="center"/>
    </w:pPr>
    <w:rPr>
      <w:rFonts w:ascii="Optima-Regular" w:eastAsiaTheme="minorEastAsia" w:hAnsi="Optima-Regular" w:cs="Optima-Regular"/>
      <w:caps/>
      <w:color w:val="002F65"/>
      <w:sz w:val="42"/>
      <w:szCs w:val="42"/>
      <w:lang w:eastAsia="ja-JP"/>
    </w:rPr>
  </w:style>
  <w:style w:type="paragraph" w:customStyle="1" w:styleId="TableHeaderRow">
    <w:name w:val="Table Header Row"/>
    <w:basedOn w:val="Normal"/>
    <w:qFormat/>
    <w:rsid w:val="00BF068A"/>
    <w:pPr>
      <w:spacing w:before="80" w:after="0"/>
    </w:pPr>
    <w:rPr>
      <w:rFonts w:ascii="Calibri" w:eastAsiaTheme="minorEastAsia" w:hAnsi="Calibri"/>
      <w:b/>
      <w:caps/>
      <w:sz w:val="19"/>
      <w:szCs w:val="19"/>
    </w:rPr>
  </w:style>
  <w:style w:type="paragraph" w:customStyle="1" w:styleId="TableFirstColumn">
    <w:name w:val="Table First Column"/>
    <w:basedOn w:val="Normal"/>
    <w:qFormat/>
    <w:rsid w:val="00BF068A"/>
    <w:pPr>
      <w:spacing w:before="80"/>
    </w:pPr>
    <w:rPr>
      <w:rFonts w:ascii="Calibri" w:eastAsiaTheme="minorEastAsia" w:hAnsi="Calibri" w:cs="Calibri"/>
      <w:i/>
      <w:sz w:val="19"/>
      <w:szCs w:val="19"/>
    </w:rPr>
  </w:style>
  <w:style w:type="paragraph" w:customStyle="1" w:styleId="TableCells">
    <w:name w:val="Table Cells"/>
    <w:basedOn w:val="Normal"/>
    <w:qFormat/>
    <w:rsid w:val="00BF068A"/>
    <w:pPr>
      <w:spacing w:before="80"/>
    </w:pPr>
    <w:rPr>
      <w:rFonts w:ascii="Calibri" w:eastAsiaTheme="minorEastAsia" w:hAnsi="Calibri" w:cs="Calibri"/>
      <w:sz w:val="19"/>
      <w:szCs w:val="19"/>
    </w:rPr>
  </w:style>
  <w:style w:type="paragraph" w:styleId="NormalWeb">
    <w:name w:val="Normal (Web)"/>
    <w:basedOn w:val="Normal"/>
    <w:uiPriority w:val="99"/>
    <w:semiHidden/>
    <w:unhideWhenUsed/>
    <w:rsid w:val="001F301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rsid w:val="00E563BB"/>
    <w:rPr>
      <w:color w:val="605E5C"/>
      <w:shd w:val="clear" w:color="auto" w:fill="E1DFDD"/>
    </w:rPr>
  </w:style>
  <w:style w:type="paragraph" w:styleId="Revision">
    <w:name w:val="Revision"/>
    <w:hidden/>
    <w:uiPriority w:val="99"/>
    <w:semiHidden/>
    <w:rsid w:val="00D4775C"/>
    <w:pPr>
      <w:spacing w:after="0" w:line="240" w:lineRule="auto"/>
    </w:pPr>
    <w:rPr>
      <w:rFonts w:ascii="Garamond" w:hAnsi="Garamond"/>
    </w:rPr>
  </w:style>
  <w:style w:type="character" w:styleId="FollowedHyperlink">
    <w:name w:val="FollowedHyperlink"/>
    <w:basedOn w:val="DefaultParagraphFont"/>
    <w:uiPriority w:val="99"/>
    <w:semiHidden/>
    <w:unhideWhenUsed/>
    <w:rsid w:val="000B1F79"/>
    <w:rPr>
      <w:color w:val="6189C8" w:themeColor="followedHyperlink"/>
      <w:u w:val="single"/>
    </w:rPr>
  </w:style>
  <w:style w:type="character" w:styleId="CommentReference">
    <w:name w:val="annotation reference"/>
    <w:basedOn w:val="DefaultParagraphFont"/>
    <w:uiPriority w:val="99"/>
    <w:semiHidden/>
    <w:unhideWhenUsed/>
    <w:rsid w:val="00464636"/>
    <w:rPr>
      <w:sz w:val="16"/>
      <w:szCs w:val="16"/>
    </w:rPr>
  </w:style>
  <w:style w:type="paragraph" w:styleId="CommentText">
    <w:name w:val="annotation text"/>
    <w:basedOn w:val="Normal"/>
    <w:link w:val="CommentTextChar"/>
    <w:uiPriority w:val="99"/>
    <w:semiHidden/>
    <w:unhideWhenUsed/>
    <w:rsid w:val="00464636"/>
    <w:pPr>
      <w:spacing w:line="240" w:lineRule="auto"/>
    </w:pPr>
    <w:rPr>
      <w:sz w:val="20"/>
      <w:szCs w:val="20"/>
    </w:rPr>
  </w:style>
  <w:style w:type="character" w:customStyle="1" w:styleId="CommentTextChar">
    <w:name w:val="Comment Text Char"/>
    <w:basedOn w:val="DefaultParagraphFont"/>
    <w:link w:val="CommentText"/>
    <w:uiPriority w:val="99"/>
    <w:semiHidden/>
    <w:rsid w:val="00464636"/>
    <w:rPr>
      <w:rFonts w:ascii="Garamond" w:hAnsi="Garamond"/>
      <w:sz w:val="20"/>
      <w:szCs w:val="20"/>
    </w:rPr>
  </w:style>
  <w:style w:type="paragraph" w:styleId="CommentSubject">
    <w:name w:val="annotation subject"/>
    <w:basedOn w:val="CommentText"/>
    <w:next w:val="CommentText"/>
    <w:link w:val="CommentSubjectChar"/>
    <w:uiPriority w:val="99"/>
    <w:semiHidden/>
    <w:unhideWhenUsed/>
    <w:rsid w:val="00464636"/>
    <w:rPr>
      <w:b/>
      <w:bCs/>
    </w:rPr>
  </w:style>
  <w:style w:type="character" w:customStyle="1" w:styleId="CommentSubjectChar">
    <w:name w:val="Comment Subject Char"/>
    <w:basedOn w:val="CommentTextChar"/>
    <w:link w:val="CommentSubject"/>
    <w:uiPriority w:val="99"/>
    <w:semiHidden/>
    <w:rsid w:val="00464636"/>
    <w:rPr>
      <w:rFonts w:ascii="Garamond" w:hAnsi="Garamond"/>
      <w:b/>
      <w:bCs/>
      <w:sz w:val="20"/>
      <w:szCs w:val="20"/>
    </w:rPr>
  </w:style>
  <w:style w:type="paragraph" w:styleId="FootnoteText">
    <w:name w:val="footnote text"/>
    <w:basedOn w:val="Normal"/>
    <w:link w:val="FootnoteTextChar"/>
    <w:uiPriority w:val="99"/>
    <w:semiHidden/>
    <w:unhideWhenUsed/>
    <w:rsid w:val="00E26F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6FAE"/>
    <w:rPr>
      <w:rFonts w:ascii="Garamond" w:hAnsi="Garamond"/>
      <w:sz w:val="20"/>
      <w:szCs w:val="20"/>
    </w:rPr>
  </w:style>
  <w:style w:type="character" w:styleId="FootnoteReference">
    <w:name w:val="footnote reference"/>
    <w:basedOn w:val="DefaultParagraphFont"/>
    <w:uiPriority w:val="99"/>
    <w:semiHidden/>
    <w:unhideWhenUsed/>
    <w:rsid w:val="00E26F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0781">
      <w:bodyDiv w:val="1"/>
      <w:marLeft w:val="0"/>
      <w:marRight w:val="0"/>
      <w:marTop w:val="0"/>
      <w:marBottom w:val="0"/>
      <w:divBdr>
        <w:top w:val="none" w:sz="0" w:space="0" w:color="auto"/>
        <w:left w:val="none" w:sz="0" w:space="0" w:color="auto"/>
        <w:bottom w:val="none" w:sz="0" w:space="0" w:color="auto"/>
        <w:right w:val="none" w:sz="0" w:space="0" w:color="auto"/>
      </w:divBdr>
    </w:div>
    <w:div w:id="356198669">
      <w:bodyDiv w:val="1"/>
      <w:marLeft w:val="0"/>
      <w:marRight w:val="0"/>
      <w:marTop w:val="0"/>
      <w:marBottom w:val="0"/>
      <w:divBdr>
        <w:top w:val="none" w:sz="0" w:space="0" w:color="auto"/>
        <w:left w:val="none" w:sz="0" w:space="0" w:color="auto"/>
        <w:bottom w:val="none" w:sz="0" w:space="0" w:color="auto"/>
        <w:right w:val="none" w:sz="0" w:space="0" w:color="auto"/>
      </w:divBdr>
      <w:divsChild>
        <w:div w:id="346181826">
          <w:marLeft w:val="0"/>
          <w:marRight w:val="0"/>
          <w:marTop w:val="0"/>
          <w:marBottom w:val="0"/>
          <w:divBdr>
            <w:top w:val="none" w:sz="0" w:space="0" w:color="auto"/>
            <w:left w:val="none" w:sz="0" w:space="0" w:color="auto"/>
            <w:bottom w:val="none" w:sz="0" w:space="0" w:color="auto"/>
            <w:right w:val="none" w:sz="0" w:space="0" w:color="auto"/>
          </w:divBdr>
          <w:divsChild>
            <w:div w:id="865363592">
              <w:marLeft w:val="0"/>
              <w:marRight w:val="0"/>
              <w:marTop w:val="0"/>
              <w:marBottom w:val="0"/>
              <w:divBdr>
                <w:top w:val="none" w:sz="0" w:space="0" w:color="auto"/>
                <w:left w:val="none" w:sz="0" w:space="0" w:color="auto"/>
                <w:bottom w:val="none" w:sz="0" w:space="0" w:color="auto"/>
                <w:right w:val="none" w:sz="0" w:space="0" w:color="auto"/>
              </w:divBdr>
              <w:divsChild>
                <w:div w:id="163309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05592">
          <w:marLeft w:val="0"/>
          <w:marRight w:val="0"/>
          <w:marTop w:val="0"/>
          <w:marBottom w:val="0"/>
          <w:divBdr>
            <w:top w:val="none" w:sz="0" w:space="0" w:color="auto"/>
            <w:left w:val="none" w:sz="0" w:space="0" w:color="auto"/>
            <w:bottom w:val="none" w:sz="0" w:space="0" w:color="auto"/>
            <w:right w:val="none" w:sz="0" w:space="0" w:color="auto"/>
          </w:divBdr>
          <w:divsChild>
            <w:div w:id="1389453320">
              <w:marLeft w:val="0"/>
              <w:marRight w:val="0"/>
              <w:marTop w:val="0"/>
              <w:marBottom w:val="0"/>
              <w:divBdr>
                <w:top w:val="none" w:sz="0" w:space="0" w:color="auto"/>
                <w:left w:val="none" w:sz="0" w:space="0" w:color="auto"/>
                <w:bottom w:val="none" w:sz="0" w:space="0" w:color="auto"/>
                <w:right w:val="none" w:sz="0" w:space="0" w:color="auto"/>
              </w:divBdr>
              <w:divsChild>
                <w:div w:id="117186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2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rticle.images.consumerreports.org/image/upload/v1657127210/prod/content/dam/CRO-Images-2022/Cars/07July/2022_Consumer_Reports_BEV_and_LCF_Survey_Report.pdf" TargetMode="External"/><Relationship Id="rId2" Type="http://schemas.openxmlformats.org/officeDocument/2006/relationships/hyperlink" Target="https://www.mckinsey.com/industries/automotive-and-assembly/our-insights/charging-ahead-electric-vehicleinfrastructure-demand" TargetMode="External"/><Relationship Id="rId1" Type="http://schemas.openxmlformats.org/officeDocument/2006/relationships/hyperlink" Target="https://afdc.energy.gov/vehicle-registration" TargetMode="External"/><Relationship Id="rId4" Type="http://schemas.openxmlformats.org/officeDocument/2006/relationships/hyperlink" Target="https://arxiv.org/pdf/2203.1637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gagnons/Library/Group%20Containers/UBF8T346G9.Office/User%20Content.localized/Templates.localized/C2ES%20General%20Template.dotx" TargetMode="External"/></Relationships>
</file>

<file path=word/theme/theme1.xml><?xml version="1.0" encoding="utf-8"?>
<a:theme xmlns:a="http://schemas.openxmlformats.org/drawingml/2006/main" name="C2ES General">
  <a:themeElements>
    <a:clrScheme name="C2ES">
      <a:dk1>
        <a:srgbClr val="002152"/>
      </a:dk1>
      <a:lt1>
        <a:sysClr val="window" lastClr="FFFFFF"/>
      </a:lt1>
      <a:dk2>
        <a:srgbClr val="000000"/>
      </a:dk2>
      <a:lt2>
        <a:srgbClr val="FFFFFF"/>
      </a:lt2>
      <a:accent1>
        <a:srgbClr val="002152"/>
      </a:accent1>
      <a:accent2>
        <a:srgbClr val="2D6C2D"/>
      </a:accent2>
      <a:accent3>
        <a:srgbClr val="E15619"/>
      </a:accent3>
      <a:accent4>
        <a:srgbClr val="4F0F3A"/>
      </a:accent4>
      <a:accent5>
        <a:srgbClr val="840023"/>
      </a:accent5>
      <a:accent6>
        <a:srgbClr val="A49B6B"/>
      </a:accent6>
      <a:hlink>
        <a:srgbClr val="002152"/>
      </a:hlink>
      <a:folHlink>
        <a:srgbClr val="6189C8"/>
      </a:folHlink>
    </a:clrScheme>
    <a:fontScheme name="C2ES Secondary">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IconOverlay xmlns="http://schemas.microsoft.com/sharepoint/v4" xsi:nil="true"/>
    <_ip_UnifiedCompliancePolicyProperties xmlns="http://schemas.microsoft.com/sharepoint/v3" xsi:nil="true"/>
    <lcf76f155ced4ddcb4097134ff3c332f xmlns="313899c9-a5e1-408f-a692-ffb09fa01fff">
      <Terms xmlns="http://schemas.microsoft.com/office/infopath/2007/PartnerControls"/>
    </lcf76f155ced4ddcb4097134ff3c332f>
    <TaxCatchAll xmlns="382d1fa8-cc96-4e84-a856-8ffca649c0c7" xsi:nil="true"/>
    <SharedWithUsers xmlns="382d1fa8-cc96-4e84-a856-8ffca649c0c7">
      <UserInfo>
        <DisplayName>Kristin Gunn</DisplayName>
        <AccountId>3180</AccountId>
        <AccountType/>
      </UserInfo>
    </SharedWithUsers>
    <NOK xmlns="313899c9-a5e1-408f-a692-ffb09fa01fff" xsi:nil="true"/>
  </documentManagement>
</p:properties>
</file>

<file path=customXml/item2.xml><?xml version="1.0" encoding="utf-8"?>
<b:Sources xmlns:b="http://schemas.openxmlformats.org/officeDocument/2006/bibliography" xmlns="http://schemas.openxmlformats.org/officeDocument/2006/bibliography" SelectedStyle="\CHICAGO.XSL" StyleName="Chicago"/>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7DD526198C4145919978946BBEA4E7" ma:contentTypeVersion="26" ma:contentTypeDescription="Create a new document." ma:contentTypeScope="" ma:versionID="d2f650e7c76b0678b0b83b8e16224406">
  <xsd:schema xmlns:xsd="http://www.w3.org/2001/XMLSchema" xmlns:xs="http://www.w3.org/2001/XMLSchema" xmlns:p="http://schemas.microsoft.com/office/2006/metadata/properties" xmlns:ns1="http://schemas.microsoft.com/sharepoint/v3" xmlns:ns2="382d1fa8-cc96-4e84-a856-8ffca649c0c7" xmlns:ns3="http://schemas.microsoft.com/sharepoint/v4" xmlns:ns4="313899c9-a5e1-408f-a692-ffb09fa01fff" targetNamespace="http://schemas.microsoft.com/office/2006/metadata/properties" ma:root="true" ma:fieldsID="cd3f017070dfc0671b592effa8a1d54a" ns1:_="" ns2:_="" ns3:_="" ns4:_="">
    <xsd:import namespace="http://schemas.microsoft.com/sharepoint/v3"/>
    <xsd:import namespace="382d1fa8-cc96-4e84-a856-8ffca649c0c7"/>
    <xsd:import namespace="http://schemas.microsoft.com/sharepoint/v4"/>
    <xsd:import namespace="313899c9-a5e1-408f-a692-ffb09fa01fff"/>
    <xsd:element name="properties">
      <xsd:complexType>
        <xsd:sequence>
          <xsd:element name="documentManagement">
            <xsd:complexType>
              <xsd:all>
                <xsd:element ref="ns2:SharedWithUsers" minOccurs="0"/>
                <xsd:element ref="ns2:SharingHintHash" minOccurs="0"/>
                <xsd:element ref="ns2:SharedWithDetails" minOccurs="0"/>
                <xsd:element ref="ns3:IconOverlay" minOccurs="0"/>
                <xsd:element ref="ns2:LastSharedByUser" minOccurs="0"/>
                <xsd:element ref="ns2: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1:_ip_UnifiedCompliancePolicyProperties" minOccurs="0"/>
                <xsd:element ref="ns1:_ip_UnifiedCompliancePolicyUIAc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lcf76f155ced4ddcb4097134ff3c332f" minOccurs="0"/>
                <xsd:element ref="ns2:TaxCatchAll" minOccurs="0"/>
                <xsd:element ref="ns4:NO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d1fa8-cc96-4e84-a856-8ffca649c0c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element name="TaxCatchAll" ma:index="29" nillable="true" ma:displayName="Taxonomy Catch All Column" ma:hidden="true" ma:list="{5e4efcf0-5fe3-4627-bfbf-3a6c699f308b}" ma:internalName="TaxCatchAll" ma:showField="CatchAllData" ma:web="382d1fa8-cc96-4e84-a856-8ffca649c0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3899c9-a5e1-408f-a692-ffb09fa01fff"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Location" ma:index="18" nillable="true" ma:displayName="MediaServiceLocation" ma:description="" ma:internalName="MediaServiceLocation"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6318beda-aa04-4729-8316-fba72f5d1926" ma:termSetId="09814cd3-568e-fe90-9814-8d621ff8fb84" ma:anchorId="fba54fb3-c3e1-fe81-a776-ca4b69148c4d" ma:open="true" ma:isKeyword="false">
      <xsd:complexType>
        <xsd:sequence>
          <xsd:element ref="pc:Terms" minOccurs="0" maxOccurs="1"/>
        </xsd:sequence>
      </xsd:complexType>
    </xsd:element>
    <xsd:element name="NOK" ma:index="30" nillable="true" ma:displayName="NOK" ma:format="Dropdown" ma:internalName="NOK">
      <xsd:simpleType>
        <xsd:restriction base="dms:Choice">
          <xsd:enumeration value="Mayb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A01FC-DA75-4B44-99F3-8A1AF95A478B}">
  <ds:schemaRefs>
    <ds:schemaRef ds:uri="http://schemas.microsoft.com/office/2006/metadata/properties"/>
    <ds:schemaRef ds:uri="http://schemas.microsoft.com/sharepoint/v3"/>
    <ds:schemaRef ds:uri="http://schemas.microsoft.com/sharepoint/v4"/>
    <ds:schemaRef ds:uri="313899c9-a5e1-408f-a692-ffb09fa01fff"/>
    <ds:schemaRef ds:uri="http://schemas.microsoft.com/office/infopath/2007/PartnerControls"/>
    <ds:schemaRef ds:uri="382d1fa8-cc96-4e84-a856-8ffca649c0c7"/>
  </ds:schemaRefs>
</ds:datastoreItem>
</file>

<file path=customXml/itemProps2.xml><?xml version="1.0" encoding="utf-8"?>
<ds:datastoreItem xmlns:ds="http://schemas.openxmlformats.org/officeDocument/2006/customXml" ds:itemID="{3D8820D2-9204-9643-AA96-F0FB5A71B961}">
  <ds:schemaRefs>
    <ds:schemaRef ds:uri="http://schemas.openxmlformats.org/officeDocument/2006/bibliography"/>
  </ds:schemaRefs>
</ds:datastoreItem>
</file>

<file path=customXml/itemProps3.xml><?xml version="1.0" encoding="utf-8"?>
<ds:datastoreItem xmlns:ds="http://schemas.openxmlformats.org/officeDocument/2006/customXml" ds:itemID="{1DF0529E-C552-421D-BD7B-B577A3EDDD98}">
  <ds:schemaRefs>
    <ds:schemaRef ds:uri="http://schemas.microsoft.com/sharepoint/v3/contenttype/forms"/>
  </ds:schemaRefs>
</ds:datastoreItem>
</file>

<file path=customXml/itemProps4.xml><?xml version="1.0" encoding="utf-8"?>
<ds:datastoreItem xmlns:ds="http://schemas.openxmlformats.org/officeDocument/2006/customXml" ds:itemID="{823DA17F-E201-436D-B77D-45C749A10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82d1fa8-cc96-4e84-a856-8ffca649c0c7"/>
    <ds:schemaRef ds:uri="http://schemas.microsoft.com/sharepoint/v4"/>
    <ds:schemaRef ds:uri="313899c9-a5e1-408f-a692-ffb09fa01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C2ES General Template.dotx</Template>
  <TotalTime>0</TotalTime>
  <Pages>3</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General Template</vt:lpstr>
    </vt:vector>
  </TitlesOfParts>
  <Company/>
  <LinksUpToDate>false</LinksUpToDate>
  <CharactersWithSpaces>6204</CharactersWithSpaces>
  <SharedDoc>false</SharedDoc>
  <HLinks>
    <vt:vector size="24" baseType="variant">
      <vt:variant>
        <vt:i4>1376342</vt:i4>
      </vt:variant>
      <vt:variant>
        <vt:i4>9</vt:i4>
      </vt:variant>
      <vt:variant>
        <vt:i4>0</vt:i4>
      </vt:variant>
      <vt:variant>
        <vt:i4>5</vt:i4>
      </vt:variant>
      <vt:variant>
        <vt:lpwstr>https://arxiv.org/pdf/2203.16372.pdf</vt:lpwstr>
      </vt:variant>
      <vt:variant>
        <vt:lpwstr/>
      </vt:variant>
      <vt:variant>
        <vt:i4>6160439</vt:i4>
      </vt:variant>
      <vt:variant>
        <vt:i4>6</vt:i4>
      </vt:variant>
      <vt:variant>
        <vt:i4>0</vt:i4>
      </vt:variant>
      <vt:variant>
        <vt:i4>5</vt:i4>
      </vt:variant>
      <vt:variant>
        <vt:lpwstr>https://article.images.consumerreports.org/image/upload/v1657127210/prod/content/dam/CRO-Images-2022/Cars/07July/2022_Consumer_Reports_BEV_and_LCF_Survey_Report.pdf</vt:lpwstr>
      </vt:variant>
      <vt:variant>
        <vt:lpwstr/>
      </vt:variant>
      <vt:variant>
        <vt:i4>589840</vt:i4>
      </vt:variant>
      <vt:variant>
        <vt:i4>3</vt:i4>
      </vt:variant>
      <vt:variant>
        <vt:i4>0</vt:i4>
      </vt:variant>
      <vt:variant>
        <vt:i4>5</vt:i4>
      </vt:variant>
      <vt:variant>
        <vt:lpwstr>https://www.mckinsey.com/industries/automotive-and-assembly/our-insights/charging-ahead-electric-vehicleinfrastructure-demand</vt:lpwstr>
      </vt:variant>
      <vt:variant>
        <vt:lpwstr/>
      </vt:variant>
      <vt:variant>
        <vt:i4>5111816</vt:i4>
      </vt:variant>
      <vt:variant>
        <vt:i4>0</vt:i4>
      </vt:variant>
      <vt:variant>
        <vt:i4>0</vt:i4>
      </vt:variant>
      <vt:variant>
        <vt:i4>5</vt:i4>
      </vt:variant>
      <vt:variant>
        <vt:lpwstr>https://afdc.energy.gov/vehicle-registration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Template</dc:title>
  <dc:subject/>
  <dc:creator>Stephanie Gagnon</dc:creator>
  <cp:keywords/>
  <cp:lastModifiedBy>Stephanie Gagnon</cp:lastModifiedBy>
  <cp:revision>2</cp:revision>
  <cp:lastPrinted>2023-03-31T12:22:00Z</cp:lastPrinted>
  <dcterms:created xsi:type="dcterms:W3CDTF">2023-03-31T12:24:00Z</dcterms:created>
  <dcterms:modified xsi:type="dcterms:W3CDTF">2023-03-31T12:24:00Z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0x010100117DD526198C4145919978946BBEA4E7</vt:lpwstr>
  </property>
  <property fmtid="{D5CDD505-2E9C-101B-9397-08002B2CF9AE}" pid="3" name="MediaServiceImageTags">
    <vt:lpwstr/>
  </property>
</Properties>
</file>